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bidi w:val="1"/>
      </w:pPr>
      <w:r>
        <w:rPr>
          <w:b/>
          <w:sz w:val="40"/>
          <w:rtl w:val="1"/>
        </w:rPr>
        <w:t>جامعة النور</w:t>
      </w:r>
    </w:p>
    <w:p>
      <w:pPr>
        <w:jc w:val="center"/>
        <w:bidi w:val="1"/>
      </w:pPr>
      <w:r>
        <w:rPr>
          <w:b/>
          <w:sz w:val="46"/>
          <w:rtl w:val="1"/>
        </w:rPr>
        <w:t>كلية العلوم</w:t>
      </w:r>
    </w:p>
    <w:p>
      <w:pPr>
        <w:jc w:val="center"/>
        <w:bidi w:val="1"/>
      </w:pPr>
      <w:r>
        <w:rPr>
          <w:b/>
          <w:sz w:val="36"/>
          <w:rtl w:val="1"/>
        </w:rPr>
        <w:t>الخطة الاستراتيجية للسنوات 2026–2030</w:t>
      </w:r>
    </w:p>
    <w:p/>
    <w:p>
      <w:pPr>
        <w:jc w:val="center"/>
        <w:bidi w:val="1"/>
      </w:pPr>
      <w:r>
        <w:rPr>
          <w:b w:val="0"/>
          <w:rtl w:val="1"/>
        </w:rPr>
        <w:t>وثيقة تخطيطية مقترحة قابلة للمراجعة والاعتماد المؤسسي</w:t>
      </w:r>
    </w:p>
    <w:p>
      <w:r>
        <w:br w:type="page"/>
      </w:r>
    </w:p>
    <w:p>
      <w:pPr>
        <w:pStyle w:val="Heading1"/>
      </w:pPr>
      <w:r>
        <w:t>1. المقدمة</w:t>
      </w:r>
    </w:p>
    <w:p>
      <w:pPr>
        <w:jc w:val="right"/>
        <w:bidi w:val="1"/>
      </w:pPr>
      <w:r>
        <w:rPr>
          <w:b w:val="0"/>
          <w:rtl w:val="1"/>
        </w:rPr>
        <w:t>تحدد هذه الخطة التوجهات الاستراتيجية لـكلية العلوم في جامعة النور خلال السنوات 2026–2030، وتستهدف تطوير جودة التعليم، وتعزيز البحث العلمي، وتنمية قدرات الملاكات، وتحسين البنية التحتية، وتوسيع الشراكات وخدمة المجتمع. وتُعد الخطة إطاراً لتوجيه الخطط التشغيلية السنوية وربط الموارد بالأولويات ومؤشرات الأداء.</w:t>
      </w:r>
    </w:p>
    <w:p>
      <w:pPr>
        <w:jc w:val="right"/>
        <w:bidi w:val="1"/>
      </w:pPr>
      <w:r>
        <w:rPr>
          <w:b w:val="0"/>
          <w:rtl w:val="1"/>
        </w:rPr>
        <w:t>هذه المسودة أولية، ويجب استكمالها ببيانات خط الأساس الفعلية ومراجعتها مع الأقسام العلمية واللجان المختصة ورئاسة الجامعة قبل اعتمادها.</w:t>
      </w:r>
    </w:p>
    <w:p>
      <w:pPr>
        <w:pStyle w:val="Heading1"/>
      </w:pPr>
      <w:r>
        <w:t>2. الرؤية والرسالة والقيم</w:t>
      </w:r>
    </w:p>
    <w:p>
      <w:pPr>
        <w:pStyle w:val="Heading2"/>
      </w:pPr>
      <w:r>
        <w:t>2.1 الرؤية</w:t>
      </w:r>
    </w:p>
    <w:p>
      <w:pPr>
        <w:jc w:val="right"/>
        <w:bidi w:val="1"/>
      </w:pPr>
      <w:r>
        <w:rPr>
          <w:b w:val="0"/>
          <w:rtl w:val="1"/>
        </w:rPr>
        <w:t>تحقيق التميز في التعليم والبحث العلمي في العلوم الأساسية والتطبيقية، وتعزيز الابتكار العلمي والمساهمة في التنمية المستدامة وخدمة المجتمع.</w:t>
      </w:r>
    </w:p>
    <w:p>
      <w:pPr>
        <w:pStyle w:val="Heading2"/>
      </w:pPr>
      <w:r>
        <w:t>2.2 الرسالة</w:t>
      </w:r>
    </w:p>
    <w:p>
      <w:pPr>
        <w:jc w:val="right"/>
        <w:bidi w:val="1"/>
      </w:pPr>
      <w:r>
        <w:rPr>
          <w:b w:val="0"/>
          <w:rtl w:val="1"/>
        </w:rPr>
        <w:t>تقديم تعليم علمي رصين قائم على الاستقصاء والتجربة والتفكير النقدي، وإعداد خريجين يمتلكون أساساً معرفياً ومهارات مختبرية وتحليلية، ودعم البحث العلمي والتعاون مع المؤسسات الأكاديمية والصناعية.</w:t>
      </w:r>
    </w:p>
    <w:p>
      <w:pPr>
        <w:pStyle w:val="Heading2"/>
      </w:pPr>
      <w:r>
        <w:t>2.3 القيم المؤسسية</w:t>
      </w:r>
    </w:p>
    <w:p>
      <w:pPr>
        <w:jc w:val="right"/>
        <w:bidi w:val="1"/>
      </w:pPr>
      <w:r>
        <w:rPr>
          <w:b w:val="0"/>
          <w:rtl w:val="1"/>
        </w:rPr>
        <w:t>النزاهة العلمية، الدقة، الموضوعية، السلامة المختبرية، الإبداع، التعاون، المسؤولية المجتمعية، والاستدامة.</w:t>
      </w:r>
    </w:p>
    <w:p>
      <w:pPr>
        <w:pStyle w:val="Heading1"/>
      </w:pPr>
      <w:r>
        <w:t>3. منهجية إعداد الخطة</w:t>
      </w:r>
    </w:p>
    <w:p>
      <w:pPr>
        <w:jc w:val="right"/>
        <w:bidi w:val="1"/>
      </w:pPr>
      <w:r>
        <w:rPr>
          <w:b w:val="0"/>
          <w:rtl w:val="1"/>
        </w:rPr>
        <w:t>تعتمد الخطة على تحليل البيئة الداخلية والخارجية، ومراجعة رسالة الجامعة والكلية، واستطلاع آراء الطلبة والخريجين وأرباب العمل، ثم تحديد الأولويات والمبادرات ومؤشرات القياس. وتُراجع المؤشرات سنوياً، وتُحدّث المستهدفات عند توفر بيانات موثوقة.</w:t>
      </w:r>
    </w:p>
    <w:p>
      <w:pPr>
        <w:jc w:val="right"/>
        <w:bidi w:val="1"/>
      </w:pPr>
      <w:r>
        <w:rPr>
          <w:b w:val="0"/>
          <w:rtl w:val="1"/>
        </w:rPr>
        <w:t>مصادر البيانات المقترحة: سجلات القبول والتخرج، نتائج تقييم الطلبة، تقارير الجودة، بيانات البحث العلمي، جرد المختبرات أو الأنظمة، استبيانات أصحاب المصلحة، وسجلات الموارد البشرية والمالية.</w:t>
      </w:r>
    </w:p>
    <w:p>
      <w:pPr>
        <w:pStyle w:val="Heading1"/>
      </w:pPr>
      <w:r>
        <w:t>4. تحليل البيئة الاستراتيجية (SWOT)</w:t>
      </w:r>
    </w:p>
    <w:tbl>
      <w:tblPr>
        <w:tblStyle w:val="TableGrid"/>
        <w:tblW w:type="auto" w:w="0"/>
        <w:jc w:val="center"/>
        <w:tblLook w:firstColumn="1" w:firstRow="1" w:lastColumn="0" w:lastRow="0" w:noHBand="0" w:noVBand="1" w:val="04A0"/>
      </w:tblPr>
      <w:tblGrid>
        <w:gridCol w:w="5040"/>
        <w:gridCol w:w="5040"/>
      </w:tblGrid>
      <w:tr>
        <w:tc>
          <w:tcPr>
            <w:tcW w:type="dxa" w:w="5040"/>
            <w:shd w:fill="1F4E79"/>
          </w:tcPr>
          <w:p>
            <w:pPr>
              <w:jc w:val="center"/>
              <w:bidi w:val="1"/>
            </w:pPr>
            <w:r>
              <w:rPr>
                <w:b/>
                <w:color w:val="FFFFFF"/>
                <w:rtl w:val="1"/>
              </w:rPr>
              <w:t>العنصر</w:t>
            </w:r>
          </w:p>
        </w:tc>
        <w:tc>
          <w:tcPr>
            <w:tcW w:type="dxa" w:w="5040"/>
            <w:shd w:fill="1F4E79"/>
          </w:tcPr>
          <w:p>
            <w:pPr>
              <w:jc w:val="center"/>
              <w:bidi w:val="1"/>
            </w:pPr>
            <w:r>
              <w:rPr>
                <w:b/>
                <w:color w:val="FFFFFF"/>
                <w:rtl w:val="1"/>
              </w:rPr>
              <w:t>التحليل الأولي</w:t>
            </w:r>
          </w:p>
        </w:tc>
      </w:tr>
      <w:tr>
        <w:tc>
          <w:tcPr>
            <w:tcW w:type="dxa" w:w="5040"/>
            <w:vAlign w:val="center"/>
          </w:tcPr>
          <w:p>
            <w:pPr>
              <w:jc w:val="right"/>
              <w:bidi w:val="1"/>
            </w:pPr>
            <w:r>
              <w:rPr>
                <w:rtl w:val="1"/>
              </w:rPr>
              <w:t>نقاط القوة</w:t>
            </w:r>
          </w:p>
        </w:tc>
        <w:tc>
          <w:tcPr>
            <w:tcW w:type="dxa" w:w="5040"/>
            <w:vAlign w:val="center"/>
          </w:tcPr>
          <w:p>
            <w:pPr>
              <w:jc w:val="right"/>
              <w:bidi w:val="1"/>
            </w:pPr>
            <w:r>
              <w:rPr>
                <w:rtl w:val="1"/>
              </w:rPr>
              <w:t>التركيز على المنهج العلمي والتجربة؛ قابلية إجراء بحوث أساسية وتطبيقية؛ إمكانية تطوير المهارات المختبرية والتحليلية للطلبة.</w:t>
            </w:r>
          </w:p>
        </w:tc>
      </w:tr>
      <w:tr>
        <w:tc>
          <w:tcPr>
            <w:tcW w:type="dxa" w:w="5040"/>
            <w:vAlign w:val="center"/>
          </w:tcPr>
          <w:p>
            <w:pPr>
              <w:jc w:val="right"/>
              <w:bidi w:val="1"/>
            </w:pPr>
            <w:r>
              <w:rPr>
                <w:rtl w:val="1"/>
              </w:rPr>
              <w:t>نقاط الضعف</w:t>
            </w:r>
          </w:p>
        </w:tc>
        <w:tc>
          <w:tcPr>
            <w:tcW w:type="dxa" w:w="5040"/>
            <w:vAlign w:val="center"/>
          </w:tcPr>
          <w:p>
            <w:pPr>
              <w:jc w:val="right"/>
              <w:bidi w:val="1"/>
            </w:pPr>
            <w:r>
              <w:rPr>
                <w:rtl w:val="1"/>
              </w:rPr>
              <w:t>الحاجة إلى تقييم كفاية الأجهزة والمواد المختبرية؛ الحاجة إلى تعزيز فرص النشر والتعاون البحثي؛ تفاوت محتمل في توفر قواعد البيانات العلمية.</w:t>
            </w:r>
          </w:p>
        </w:tc>
      </w:tr>
      <w:tr>
        <w:tc>
          <w:tcPr>
            <w:tcW w:type="dxa" w:w="5040"/>
            <w:vAlign w:val="center"/>
          </w:tcPr>
          <w:p>
            <w:pPr>
              <w:jc w:val="right"/>
              <w:bidi w:val="1"/>
            </w:pPr>
            <w:r>
              <w:rPr>
                <w:rtl w:val="1"/>
              </w:rPr>
              <w:t>الفرص</w:t>
            </w:r>
          </w:p>
        </w:tc>
        <w:tc>
          <w:tcPr>
            <w:tcW w:type="dxa" w:w="5040"/>
            <w:vAlign w:val="center"/>
          </w:tcPr>
          <w:p>
            <w:pPr>
              <w:jc w:val="right"/>
              <w:bidi w:val="1"/>
            </w:pPr>
            <w:r>
              <w:rPr>
                <w:rtl w:val="1"/>
              </w:rPr>
              <w:t>تطور التقنيات المختبرية والبيانات العلمية؛ فرص التعاون بين التخصصات؛ احتياجات البيئة والصحة والصناعة والطاقة للخبرات العلمية.</w:t>
            </w:r>
          </w:p>
        </w:tc>
      </w:tr>
      <w:tr>
        <w:tc>
          <w:tcPr>
            <w:tcW w:type="dxa" w:w="5040"/>
            <w:vAlign w:val="center"/>
          </w:tcPr>
          <w:p>
            <w:pPr>
              <w:jc w:val="right"/>
              <w:bidi w:val="1"/>
            </w:pPr>
            <w:r>
              <w:rPr>
                <w:rtl w:val="1"/>
              </w:rPr>
              <w:t>التهديدات</w:t>
            </w:r>
          </w:p>
        </w:tc>
        <w:tc>
          <w:tcPr>
            <w:tcW w:type="dxa" w:w="5040"/>
            <w:vAlign w:val="center"/>
          </w:tcPr>
          <w:p>
            <w:pPr>
              <w:jc w:val="right"/>
              <w:bidi w:val="1"/>
            </w:pPr>
            <w:r>
              <w:rPr>
                <w:rtl w:val="1"/>
              </w:rPr>
              <w:t>ارتفاع كلفة الأجهزة والمواد الاستهلاكية؛ سرعة تطور المعرفة العلمية؛ محدودية التمويل البحثي والمنافسة على المنح.</w:t>
            </w:r>
          </w:p>
        </w:tc>
      </w:tr>
    </w:tbl>
    <w:p/>
    <w:p>
      <w:pPr>
        <w:jc w:val="right"/>
        <w:bidi w:val="1"/>
      </w:pPr>
      <w:r>
        <w:rPr>
          <w:b w:val="0"/>
          <w:rtl w:val="1"/>
        </w:rPr>
        <w:t>ملاحظة: التحليل أعلاه استرشادي ويحتاج إلى التحقق بالأدلة والبيانات الفعلية قبل اعتماده.</w:t>
      </w:r>
    </w:p>
    <w:p>
      <w:pPr>
        <w:pStyle w:val="Heading1"/>
      </w:pPr>
      <w:r>
        <w:t>5. الأهداف الاستراتيجية</w:t>
      </w:r>
    </w:p>
    <w:p>
      <w:pPr>
        <w:pStyle w:val="Heading2"/>
      </w:pPr>
      <w:r>
        <w:t>1. تطوير التعليم العلمي ومخرجات التعلم</w:t>
      </w:r>
    </w:p>
    <w:p>
      <w:pPr>
        <w:pStyle w:val="ListBullet"/>
        <w:jc w:val="right"/>
        <w:bidi w:val="1"/>
      </w:pPr>
      <w:r>
        <w:rPr>
          <w:rtl w:val="1"/>
        </w:rPr>
        <w:t>تحديث مفردات المقررات وفق التطورات العلمية والتخصصية.</w:t>
      </w:r>
    </w:p>
    <w:p>
      <w:pPr>
        <w:pStyle w:val="ListBullet"/>
        <w:jc w:val="right"/>
        <w:bidi w:val="1"/>
      </w:pPr>
      <w:r>
        <w:rPr>
          <w:rtl w:val="1"/>
        </w:rPr>
        <w:t>تعزيز التعلم القائم على الاستقصاء وحل المشكلات والتجارب العملية.</w:t>
      </w:r>
    </w:p>
    <w:p>
      <w:pPr>
        <w:pStyle w:val="ListBullet"/>
        <w:jc w:val="right"/>
        <w:bidi w:val="1"/>
      </w:pPr>
      <w:r>
        <w:rPr>
          <w:rtl w:val="1"/>
        </w:rPr>
        <w:t>ربط المقررات بمخرجات تعلم معرفية ومختبرية قابلة للقياس.</w:t>
      </w:r>
    </w:p>
    <w:p>
      <w:pPr>
        <w:pStyle w:val="Heading2"/>
      </w:pPr>
      <w:r>
        <w:t>2. تطوير المختبرات والسلامة</w:t>
      </w:r>
    </w:p>
    <w:p>
      <w:pPr>
        <w:pStyle w:val="ListBullet"/>
        <w:jc w:val="right"/>
        <w:bidi w:val="1"/>
      </w:pPr>
      <w:r>
        <w:rPr>
          <w:rtl w:val="1"/>
        </w:rPr>
        <w:t>إعداد خطة دورية لصيانة الأجهزة ومعايرتها وتحديثها حسب الأولوية.</w:t>
      </w:r>
    </w:p>
    <w:p>
      <w:pPr>
        <w:pStyle w:val="ListBullet"/>
        <w:jc w:val="right"/>
        <w:bidi w:val="1"/>
      </w:pPr>
      <w:r>
        <w:rPr>
          <w:rtl w:val="1"/>
        </w:rPr>
        <w:t>تطبيق تعليمات السلامة والتعامل مع المواد والنفايات المختبرية.</w:t>
      </w:r>
    </w:p>
    <w:p>
      <w:pPr>
        <w:pStyle w:val="ListBullet"/>
        <w:jc w:val="right"/>
        <w:bidi w:val="1"/>
      </w:pPr>
      <w:r>
        <w:rPr>
          <w:rtl w:val="1"/>
        </w:rPr>
        <w:t>توثيق استخدام المختبرات وتوافر المواد والأجهزة الأساسية.</w:t>
      </w:r>
    </w:p>
    <w:p>
      <w:pPr>
        <w:pStyle w:val="Heading2"/>
      </w:pPr>
      <w:r>
        <w:t>3. البحث العلمي والنشر</w:t>
      </w:r>
    </w:p>
    <w:p>
      <w:pPr>
        <w:pStyle w:val="ListBullet"/>
        <w:jc w:val="right"/>
        <w:bidi w:val="1"/>
      </w:pPr>
      <w:r>
        <w:rPr>
          <w:rtl w:val="1"/>
        </w:rPr>
        <w:t>تشجيع البحوث الأصيلة والتطبيقية متعددة التخصصات.</w:t>
      </w:r>
    </w:p>
    <w:p>
      <w:pPr>
        <w:pStyle w:val="ListBullet"/>
        <w:jc w:val="right"/>
        <w:bidi w:val="1"/>
      </w:pPr>
      <w:r>
        <w:rPr>
          <w:rtl w:val="1"/>
        </w:rPr>
        <w:t>تعزيز مهارات كتابة البحوث والتحليل الإحصائي وإدارة البيانات.</w:t>
      </w:r>
    </w:p>
    <w:p>
      <w:pPr>
        <w:pStyle w:val="ListBullet"/>
        <w:jc w:val="right"/>
        <w:bidi w:val="1"/>
      </w:pPr>
      <w:r>
        <w:rPr>
          <w:rtl w:val="1"/>
        </w:rPr>
        <w:t>دعم المشاركة في المؤتمرات والتعاون مع الجامعات والمراكز البحثية.</w:t>
      </w:r>
    </w:p>
    <w:p>
      <w:pPr>
        <w:pStyle w:val="Heading2"/>
      </w:pPr>
      <w:r>
        <w:t>4. تطوير الملاكات العلمية</w:t>
      </w:r>
    </w:p>
    <w:p>
      <w:pPr>
        <w:pStyle w:val="ListBullet"/>
        <w:jc w:val="right"/>
        <w:bidi w:val="1"/>
      </w:pPr>
      <w:r>
        <w:rPr>
          <w:rtl w:val="1"/>
        </w:rPr>
        <w:t>تنفيذ تدريب تخصصي في التقنيات المختبرية الحديثة.</w:t>
      </w:r>
    </w:p>
    <w:p>
      <w:pPr>
        <w:pStyle w:val="ListBullet"/>
        <w:jc w:val="right"/>
        <w:bidi w:val="1"/>
      </w:pPr>
      <w:r>
        <w:rPr>
          <w:rtl w:val="1"/>
        </w:rPr>
        <w:t>دعم تطوير طرائق التدريس والتقييم العلمي.</w:t>
      </w:r>
    </w:p>
    <w:p>
      <w:pPr>
        <w:pStyle w:val="ListBullet"/>
        <w:jc w:val="right"/>
        <w:bidi w:val="1"/>
      </w:pPr>
      <w:r>
        <w:rPr>
          <w:rtl w:val="1"/>
        </w:rPr>
        <w:t>تشجيع الإشراف المشترك وتبادل الخبرات البحثية.</w:t>
      </w:r>
    </w:p>
    <w:p>
      <w:pPr>
        <w:pStyle w:val="Heading2"/>
      </w:pPr>
      <w:r>
        <w:t>5. الشراكات البحثية وخدمة المجتمع</w:t>
      </w:r>
    </w:p>
    <w:p>
      <w:pPr>
        <w:pStyle w:val="ListBullet"/>
        <w:jc w:val="right"/>
        <w:bidi w:val="1"/>
      </w:pPr>
      <w:r>
        <w:rPr>
          <w:rtl w:val="1"/>
        </w:rPr>
        <w:t>تطوير تعاون مع المؤسسات العلمية والصناعية والبيئية ذات الصلة.</w:t>
      </w:r>
    </w:p>
    <w:p>
      <w:pPr>
        <w:pStyle w:val="ListBullet"/>
        <w:jc w:val="right"/>
        <w:bidi w:val="1"/>
      </w:pPr>
      <w:r>
        <w:rPr>
          <w:rtl w:val="1"/>
        </w:rPr>
        <w:t>تنفيذ مبادرات علمية وتوعوية للمجتمع والمدارس.</w:t>
      </w:r>
    </w:p>
    <w:p>
      <w:pPr>
        <w:pStyle w:val="ListBullet"/>
        <w:jc w:val="right"/>
        <w:bidi w:val="1"/>
      </w:pPr>
      <w:r>
        <w:rPr>
          <w:rtl w:val="1"/>
        </w:rPr>
        <w:t>تشجيع مشاريع تعالج مشكلات محلية باستخدام منهج علمي.</w:t>
      </w:r>
    </w:p>
    <w:p>
      <w:pPr>
        <w:pStyle w:val="Heading2"/>
      </w:pPr>
      <w:r>
        <w:t>6. التحول الرقمي وإدارة البيانات</w:t>
      </w:r>
    </w:p>
    <w:p>
      <w:pPr>
        <w:pStyle w:val="ListBullet"/>
        <w:jc w:val="right"/>
        <w:bidi w:val="1"/>
      </w:pPr>
      <w:r>
        <w:rPr>
          <w:rtl w:val="1"/>
        </w:rPr>
        <w:t>توسيع استخدام المصادر العلمية الإلكترونية وقواعد البيانات المتاحة.</w:t>
      </w:r>
    </w:p>
    <w:p>
      <w:pPr>
        <w:pStyle w:val="ListBullet"/>
        <w:jc w:val="right"/>
        <w:bidi w:val="1"/>
      </w:pPr>
      <w:r>
        <w:rPr>
          <w:rtl w:val="1"/>
        </w:rPr>
        <w:t>تعزيز استخدام البرمجيات العلمية والتحليلية والمحاكاة حسب التخصص.</w:t>
      </w:r>
    </w:p>
    <w:p>
      <w:pPr>
        <w:pStyle w:val="ListBullet"/>
        <w:jc w:val="right"/>
        <w:bidi w:val="1"/>
      </w:pPr>
      <w:r>
        <w:rPr>
          <w:rtl w:val="1"/>
        </w:rPr>
        <w:t>تطوير توثيق البيانات البحثية وحفظها ومشاركتها وفق الضوابط.</w:t>
      </w:r>
    </w:p>
    <w:p>
      <w:pPr>
        <w:pStyle w:val="Heading2"/>
      </w:pPr>
      <w:r>
        <w:t>7. دعم الطلبة والمهارات البحثية</w:t>
      </w:r>
    </w:p>
    <w:p>
      <w:pPr>
        <w:pStyle w:val="ListBullet"/>
        <w:jc w:val="right"/>
        <w:bidi w:val="1"/>
      </w:pPr>
      <w:r>
        <w:rPr>
          <w:rtl w:val="1"/>
        </w:rPr>
        <w:t>تنظيم مشاريع طلابية وتجارب استقصائية وعروض علمية.</w:t>
      </w:r>
    </w:p>
    <w:p>
      <w:pPr>
        <w:pStyle w:val="ListBullet"/>
        <w:jc w:val="right"/>
        <w:bidi w:val="1"/>
      </w:pPr>
      <w:r>
        <w:rPr>
          <w:rtl w:val="1"/>
        </w:rPr>
        <w:t>تعزيز الإرشاد الأكاديمي ومتابعة التحصيل العلمي.</w:t>
      </w:r>
    </w:p>
    <w:p>
      <w:pPr>
        <w:pStyle w:val="ListBullet"/>
        <w:jc w:val="right"/>
        <w:bidi w:val="1"/>
      </w:pPr>
      <w:r>
        <w:rPr>
          <w:rtl w:val="1"/>
        </w:rPr>
        <w:t>تدريب الطلبة على أخلاقيات البحث والتوثيق العلمي.</w:t>
      </w:r>
    </w:p>
    <w:p>
      <w:pPr>
        <w:pStyle w:val="Heading2"/>
      </w:pPr>
      <w:r>
        <w:t>8. الاستدامة والتميز المؤسسي</w:t>
      </w:r>
    </w:p>
    <w:p>
      <w:pPr>
        <w:pStyle w:val="ListBullet"/>
        <w:jc w:val="right"/>
        <w:bidi w:val="1"/>
      </w:pPr>
      <w:r>
        <w:rPr>
          <w:rtl w:val="1"/>
        </w:rPr>
        <w:t>ترشيد استهلاك الطاقة والمياه والمواد المختبرية.</w:t>
      </w:r>
    </w:p>
    <w:p>
      <w:pPr>
        <w:pStyle w:val="ListBullet"/>
        <w:jc w:val="right"/>
        <w:bidi w:val="1"/>
      </w:pPr>
      <w:r>
        <w:rPr>
          <w:rtl w:val="1"/>
        </w:rPr>
        <w:t>متابعة مؤشرات الأداء والتحسين المستمر في الأقسام.</w:t>
      </w:r>
    </w:p>
    <w:p>
      <w:pPr>
        <w:pStyle w:val="ListBullet"/>
        <w:jc w:val="right"/>
        <w:bidi w:val="1"/>
      </w:pPr>
      <w:r>
        <w:rPr>
          <w:rtl w:val="1"/>
        </w:rPr>
        <w:t>تعزيز ثقافة النزاهة العلمية والتوثيق والشفافية.</w:t>
      </w:r>
    </w:p>
    <w:p>
      <w:pPr>
        <w:pStyle w:val="Heading1"/>
      </w:pPr>
      <w:r>
        <w:t>6. مؤشرات الأداء والمستهدفات</w:t>
      </w:r>
    </w:p>
    <w:p>
      <w:pPr>
        <w:jc w:val="right"/>
        <w:bidi w:val="1"/>
      </w:pPr>
      <w:r>
        <w:rPr>
          <w:b w:val="0"/>
          <w:rtl w:val="1"/>
        </w:rPr>
        <w:t>المستهدفات أدناه مقترحة لأغراض التخطيط وليست نتائج فعلية. ينبغي تثبيت خط الأساس خلال السنة الأولى ومراجعتها وفق الإمكانات والاعتمادات الرسمية.</w:t>
      </w:r>
    </w:p>
    <w:tbl>
      <w:tblPr>
        <w:tblStyle w:val="TableGrid"/>
        <w:tblW w:type="auto" w:w="0"/>
        <w:jc w:val="center"/>
        <w:tblLook w:firstColumn="1" w:firstRow="1" w:lastColumn="0" w:lastRow="0" w:noHBand="0" w:noVBand="1" w:val="04A0"/>
      </w:tblPr>
      <w:tblGrid>
        <w:gridCol w:w="2016"/>
        <w:gridCol w:w="2016"/>
        <w:gridCol w:w="2016"/>
        <w:gridCol w:w="2016"/>
        <w:gridCol w:w="2016"/>
      </w:tblGrid>
      <w:tr>
        <w:tc>
          <w:tcPr>
            <w:tcW w:type="dxa" w:w="2016"/>
            <w:shd w:fill="1F4E79"/>
          </w:tcPr>
          <w:p>
            <w:pPr>
              <w:jc w:val="center"/>
              <w:bidi w:val="1"/>
            </w:pPr>
            <w:r>
              <w:rPr>
                <w:b/>
                <w:color w:val="FFFFFF"/>
                <w:rtl w:val="1"/>
              </w:rPr>
              <w:t>المجال</w:t>
            </w:r>
          </w:p>
        </w:tc>
        <w:tc>
          <w:tcPr>
            <w:tcW w:type="dxa" w:w="2016"/>
            <w:shd w:fill="1F4E79"/>
          </w:tcPr>
          <w:p>
            <w:pPr>
              <w:jc w:val="center"/>
              <w:bidi w:val="1"/>
            </w:pPr>
            <w:r>
              <w:rPr>
                <w:b/>
                <w:color w:val="FFFFFF"/>
                <w:rtl w:val="1"/>
              </w:rPr>
              <w:t>مؤشر الأداء</w:t>
            </w:r>
          </w:p>
        </w:tc>
        <w:tc>
          <w:tcPr>
            <w:tcW w:type="dxa" w:w="2016"/>
            <w:shd w:fill="1F4E79"/>
          </w:tcPr>
          <w:p>
            <w:pPr>
              <w:jc w:val="center"/>
              <w:bidi w:val="1"/>
            </w:pPr>
            <w:r>
              <w:rPr>
                <w:b/>
                <w:color w:val="FFFFFF"/>
                <w:rtl w:val="1"/>
              </w:rPr>
              <w:t>المستهدف المقترح</w:t>
            </w:r>
          </w:p>
        </w:tc>
        <w:tc>
          <w:tcPr>
            <w:tcW w:type="dxa" w:w="2016"/>
            <w:shd w:fill="1F4E79"/>
          </w:tcPr>
          <w:p>
            <w:pPr>
              <w:jc w:val="center"/>
              <w:bidi w:val="1"/>
            </w:pPr>
            <w:r>
              <w:rPr>
                <w:b/>
                <w:color w:val="FFFFFF"/>
                <w:rtl w:val="1"/>
              </w:rPr>
              <w:t>مصدر التحقق</w:t>
            </w:r>
          </w:p>
        </w:tc>
        <w:tc>
          <w:tcPr>
            <w:tcW w:type="dxa" w:w="2016"/>
            <w:shd w:fill="1F4E79"/>
          </w:tcPr>
          <w:p>
            <w:pPr>
              <w:jc w:val="center"/>
              <w:bidi w:val="1"/>
            </w:pPr>
            <w:r>
              <w:rPr>
                <w:b/>
                <w:color w:val="FFFFFF"/>
                <w:rtl w:val="1"/>
              </w:rPr>
              <w:t>المسؤول المقترح</w:t>
            </w:r>
          </w:p>
        </w:tc>
      </w:tr>
      <w:tr>
        <w:tc>
          <w:tcPr>
            <w:tcW w:type="dxa" w:w="2016"/>
            <w:vAlign w:val="center"/>
          </w:tcPr>
          <w:p>
            <w:pPr>
              <w:jc w:val="right"/>
              <w:bidi w:val="1"/>
            </w:pPr>
            <w:r>
              <w:rPr>
                <w:rtl w:val="1"/>
              </w:rPr>
              <w:t>المناهج</w:t>
            </w:r>
          </w:p>
        </w:tc>
        <w:tc>
          <w:tcPr>
            <w:tcW w:type="dxa" w:w="2016"/>
            <w:vAlign w:val="center"/>
          </w:tcPr>
          <w:p>
            <w:pPr>
              <w:jc w:val="right"/>
              <w:bidi w:val="1"/>
            </w:pPr>
            <w:r>
              <w:rPr>
                <w:rtl w:val="1"/>
              </w:rPr>
              <w:t>نسبة البرامج التي تمت مراجعتها</w:t>
            </w:r>
          </w:p>
        </w:tc>
        <w:tc>
          <w:tcPr>
            <w:tcW w:type="dxa" w:w="2016"/>
            <w:vAlign w:val="center"/>
          </w:tcPr>
          <w:p>
            <w:pPr>
              <w:jc w:val="right"/>
              <w:bidi w:val="1"/>
            </w:pPr>
            <w:r>
              <w:rPr>
                <w:rtl w:val="1"/>
              </w:rPr>
              <w:t>100% بحلول 2030</w:t>
            </w:r>
          </w:p>
        </w:tc>
        <w:tc>
          <w:tcPr>
            <w:tcW w:type="dxa" w:w="2016"/>
            <w:vAlign w:val="center"/>
          </w:tcPr>
          <w:p>
            <w:pPr>
              <w:jc w:val="right"/>
              <w:bidi w:val="1"/>
            </w:pPr>
            <w:r>
              <w:rPr>
                <w:rtl w:val="1"/>
              </w:rPr>
              <w:t>توصيف البرامج ومحاضر اللجان</w:t>
            </w:r>
          </w:p>
        </w:tc>
        <w:tc>
          <w:tcPr>
            <w:tcW w:type="dxa" w:w="2016"/>
            <w:vAlign w:val="center"/>
          </w:tcPr>
          <w:p>
            <w:pPr>
              <w:jc w:val="right"/>
              <w:bidi w:val="1"/>
            </w:pPr>
            <w:r>
              <w:rPr>
                <w:rtl w:val="1"/>
              </w:rPr>
              <w:t>رؤساء الأقسام</w:t>
            </w:r>
          </w:p>
        </w:tc>
      </w:tr>
      <w:tr>
        <w:tc>
          <w:tcPr>
            <w:tcW w:type="dxa" w:w="2016"/>
            <w:vAlign w:val="center"/>
          </w:tcPr>
          <w:p>
            <w:pPr>
              <w:jc w:val="right"/>
              <w:bidi w:val="1"/>
            </w:pPr>
            <w:r>
              <w:rPr>
                <w:rtl w:val="1"/>
              </w:rPr>
              <w:t>الجودة</w:t>
            </w:r>
          </w:p>
        </w:tc>
        <w:tc>
          <w:tcPr>
            <w:tcW w:type="dxa" w:w="2016"/>
            <w:vAlign w:val="center"/>
          </w:tcPr>
          <w:p>
            <w:pPr>
              <w:jc w:val="right"/>
              <w:bidi w:val="1"/>
            </w:pPr>
            <w:r>
              <w:rPr>
                <w:rtl w:val="1"/>
              </w:rPr>
              <w:t>الأقسام التي تنجز التقييم الذاتي السنوي</w:t>
            </w:r>
          </w:p>
        </w:tc>
        <w:tc>
          <w:tcPr>
            <w:tcW w:type="dxa" w:w="2016"/>
            <w:vAlign w:val="center"/>
          </w:tcPr>
          <w:p>
            <w:pPr>
              <w:jc w:val="right"/>
              <w:bidi w:val="1"/>
            </w:pPr>
            <w:r>
              <w:rPr>
                <w:rtl w:val="1"/>
              </w:rPr>
              <w:t>100%</w:t>
            </w:r>
          </w:p>
        </w:tc>
        <w:tc>
          <w:tcPr>
            <w:tcW w:type="dxa" w:w="2016"/>
            <w:vAlign w:val="center"/>
          </w:tcPr>
          <w:p>
            <w:pPr>
              <w:jc w:val="right"/>
              <w:bidi w:val="1"/>
            </w:pPr>
            <w:r>
              <w:rPr>
                <w:rtl w:val="1"/>
              </w:rPr>
              <w:t>تقارير الجودة</w:t>
            </w:r>
          </w:p>
        </w:tc>
        <w:tc>
          <w:tcPr>
            <w:tcW w:type="dxa" w:w="2016"/>
            <w:vAlign w:val="center"/>
          </w:tcPr>
          <w:p>
            <w:pPr>
              <w:jc w:val="right"/>
              <w:bidi w:val="1"/>
            </w:pPr>
            <w:r>
              <w:rPr>
                <w:rtl w:val="1"/>
              </w:rPr>
              <w:t>مسؤول ضمان الجودة</w:t>
            </w:r>
          </w:p>
        </w:tc>
      </w:tr>
      <w:tr>
        <w:tc>
          <w:tcPr>
            <w:tcW w:type="dxa" w:w="2016"/>
            <w:vAlign w:val="center"/>
          </w:tcPr>
          <w:p>
            <w:pPr>
              <w:jc w:val="right"/>
              <w:bidi w:val="1"/>
            </w:pPr>
            <w:r>
              <w:rPr>
                <w:rtl w:val="1"/>
              </w:rPr>
              <w:t>المختبرات</w:t>
            </w:r>
          </w:p>
        </w:tc>
        <w:tc>
          <w:tcPr>
            <w:tcW w:type="dxa" w:w="2016"/>
            <w:vAlign w:val="center"/>
          </w:tcPr>
          <w:p>
            <w:pPr>
              <w:jc w:val="right"/>
              <w:bidi w:val="1"/>
            </w:pPr>
            <w:r>
              <w:rPr>
                <w:rtl w:val="1"/>
              </w:rPr>
              <w:t>المختبرات التي لديها سجلات صيانة وسلامة محدثة</w:t>
            </w:r>
          </w:p>
        </w:tc>
        <w:tc>
          <w:tcPr>
            <w:tcW w:type="dxa" w:w="2016"/>
            <w:vAlign w:val="center"/>
          </w:tcPr>
          <w:p>
            <w:pPr>
              <w:jc w:val="right"/>
              <w:bidi w:val="1"/>
            </w:pPr>
            <w:r>
              <w:rPr>
                <w:rtl w:val="1"/>
              </w:rPr>
              <w:t>100%</w:t>
            </w:r>
          </w:p>
        </w:tc>
        <w:tc>
          <w:tcPr>
            <w:tcW w:type="dxa" w:w="2016"/>
            <w:vAlign w:val="center"/>
          </w:tcPr>
          <w:p>
            <w:pPr>
              <w:jc w:val="right"/>
              <w:bidi w:val="1"/>
            </w:pPr>
            <w:r>
              <w:rPr>
                <w:rtl w:val="1"/>
              </w:rPr>
              <w:t>سجلات المختبرات</w:t>
            </w:r>
          </w:p>
        </w:tc>
        <w:tc>
          <w:tcPr>
            <w:tcW w:type="dxa" w:w="2016"/>
            <w:vAlign w:val="center"/>
          </w:tcPr>
          <w:p>
            <w:pPr>
              <w:jc w:val="right"/>
              <w:bidi w:val="1"/>
            </w:pPr>
            <w:r>
              <w:rPr>
                <w:rtl w:val="1"/>
              </w:rPr>
              <w:t>مسؤولو المختبرات</w:t>
            </w:r>
          </w:p>
        </w:tc>
      </w:tr>
      <w:tr>
        <w:tc>
          <w:tcPr>
            <w:tcW w:type="dxa" w:w="2016"/>
            <w:vAlign w:val="center"/>
          </w:tcPr>
          <w:p>
            <w:pPr>
              <w:jc w:val="right"/>
              <w:bidi w:val="1"/>
            </w:pPr>
            <w:r>
              <w:rPr>
                <w:rtl w:val="1"/>
              </w:rPr>
              <w:t>البحث</w:t>
            </w:r>
          </w:p>
        </w:tc>
        <w:tc>
          <w:tcPr>
            <w:tcW w:type="dxa" w:w="2016"/>
            <w:vAlign w:val="center"/>
          </w:tcPr>
          <w:p>
            <w:pPr>
              <w:jc w:val="right"/>
              <w:bidi w:val="1"/>
            </w:pPr>
            <w:r>
              <w:rPr>
                <w:rtl w:val="1"/>
              </w:rPr>
              <w:t>زيادة البحوث المنشورة عن خط الأساس</w:t>
            </w:r>
          </w:p>
        </w:tc>
        <w:tc>
          <w:tcPr>
            <w:tcW w:type="dxa" w:w="2016"/>
            <w:vAlign w:val="center"/>
          </w:tcPr>
          <w:p>
            <w:pPr>
              <w:jc w:val="right"/>
              <w:bidi w:val="1"/>
            </w:pPr>
            <w:r>
              <w:rPr>
                <w:rtl w:val="1"/>
              </w:rPr>
              <w:t>50% زيادة</w:t>
            </w:r>
          </w:p>
        </w:tc>
        <w:tc>
          <w:tcPr>
            <w:tcW w:type="dxa" w:w="2016"/>
            <w:vAlign w:val="center"/>
          </w:tcPr>
          <w:p>
            <w:pPr>
              <w:jc w:val="right"/>
              <w:bidi w:val="1"/>
            </w:pPr>
            <w:r>
              <w:rPr>
                <w:rtl w:val="1"/>
              </w:rPr>
              <w:t>سجلات النشر</w:t>
            </w:r>
          </w:p>
        </w:tc>
        <w:tc>
          <w:tcPr>
            <w:tcW w:type="dxa" w:w="2016"/>
            <w:vAlign w:val="center"/>
          </w:tcPr>
          <w:p>
            <w:pPr>
              <w:jc w:val="right"/>
              <w:bidi w:val="1"/>
            </w:pPr>
            <w:r>
              <w:rPr>
                <w:rtl w:val="1"/>
              </w:rPr>
              <w:t>اللجنة العلمية</w:t>
            </w:r>
          </w:p>
        </w:tc>
      </w:tr>
      <w:tr>
        <w:tc>
          <w:tcPr>
            <w:tcW w:type="dxa" w:w="2016"/>
            <w:vAlign w:val="center"/>
          </w:tcPr>
          <w:p>
            <w:pPr>
              <w:jc w:val="right"/>
              <w:bidi w:val="1"/>
            </w:pPr>
            <w:r>
              <w:rPr>
                <w:rtl w:val="1"/>
              </w:rPr>
              <w:t>التطوير المهني</w:t>
            </w:r>
          </w:p>
        </w:tc>
        <w:tc>
          <w:tcPr>
            <w:tcW w:type="dxa" w:w="2016"/>
            <w:vAlign w:val="center"/>
          </w:tcPr>
          <w:p>
            <w:pPr>
              <w:jc w:val="right"/>
              <w:bidi w:val="1"/>
            </w:pPr>
            <w:r>
              <w:rPr>
                <w:rtl w:val="1"/>
              </w:rPr>
              <w:t>التدريسيون المشاركون في تدريب تخصصي سنوي</w:t>
            </w:r>
          </w:p>
        </w:tc>
        <w:tc>
          <w:tcPr>
            <w:tcW w:type="dxa" w:w="2016"/>
            <w:vAlign w:val="center"/>
          </w:tcPr>
          <w:p>
            <w:pPr>
              <w:jc w:val="right"/>
              <w:bidi w:val="1"/>
            </w:pPr>
            <w:r>
              <w:rPr>
                <w:rtl w:val="1"/>
              </w:rPr>
              <w:t>90%</w:t>
            </w:r>
          </w:p>
        </w:tc>
        <w:tc>
          <w:tcPr>
            <w:tcW w:type="dxa" w:w="2016"/>
            <w:vAlign w:val="center"/>
          </w:tcPr>
          <w:p>
            <w:pPr>
              <w:jc w:val="right"/>
              <w:bidi w:val="1"/>
            </w:pPr>
            <w:r>
              <w:rPr>
                <w:rtl w:val="1"/>
              </w:rPr>
              <w:t>سجلات التدريب</w:t>
            </w:r>
          </w:p>
        </w:tc>
        <w:tc>
          <w:tcPr>
            <w:tcW w:type="dxa" w:w="2016"/>
            <w:vAlign w:val="center"/>
          </w:tcPr>
          <w:p>
            <w:pPr>
              <w:jc w:val="right"/>
              <w:bidi w:val="1"/>
            </w:pPr>
            <w:r>
              <w:rPr>
                <w:rtl w:val="1"/>
              </w:rPr>
              <w:t>العمادة والأقسام</w:t>
            </w:r>
          </w:p>
        </w:tc>
      </w:tr>
      <w:tr>
        <w:tc>
          <w:tcPr>
            <w:tcW w:type="dxa" w:w="2016"/>
            <w:vAlign w:val="center"/>
          </w:tcPr>
          <w:p>
            <w:pPr>
              <w:jc w:val="right"/>
              <w:bidi w:val="1"/>
            </w:pPr>
            <w:r>
              <w:rPr>
                <w:rtl w:val="1"/>
              </w:rPr>
              <w:t>الشراكات</w:t>
            </w:r>
          </w:p>
        </w:tc>
        <w:tc>
          <w:tcPr>
            <w:tcW w:type="dxa" w:w="2016"/>
            <w:vAlign w:val="center"/>
          </w:tcPr>
          <w:p>
            <w:pPr>
              <w:jc w:val="right"/>
              <w:bidi w:val="1"/>
            </w:pPr>
            <w:r>
              <w:rPr>
                <w:rtl w:val="1"/>
              </w:rPr>
              <w:t>أنشطة أو مشاريع بحثية مشتركة موثقة</w:t>
            </w:r>
          </w:p>
        </w:tc>
        <w:tc>
          <w:tcPr>
            <w:tcW w:type="dxa" w:w="2016"/>
            <w:vAlign w:val="center"/>
          </w:tcPr>
          <w:p>
            <w:pPr>
              <w:jc w:val="right"/>
              <w:bidi w:val="1"/>
            </w:pPr>
            <w:r>
              <w:rPr>
                <w:rtl w:val="1"/>
              </w:rPr>
              <w:t>5 سنوياً</w:t>
            </w:r>
          </w:p>
        </w:tc>
        <w:tc>
          <w:tcPr>
            <w:tcW w:type="dxa" w:w="2016"/>
            <w:vAlign w:val="center"/>
          </w:tcPr>
          <w:p>
            <w:pPr>
              <w:jc w:val="right"/>
              <w:bidi w:val="1"/>
            </w:pPr>
            <w:r>
              <w:rPr>
                <w:rtl w:val="1"/>
              </w:rPr>
              <w:t>تقارير المشاريع</w:t>
            </w:r>
          </w:p>
        </w:tc>
        <w:tc>
          <w:tcPr>
            <w:tcW w:type="dxa" w:w="2016"/>
            <w:vAlign w:val="center"/>
          </w:tcPr>
          <w:p>
            <w:pPr>
              <w:jc w:val="right"/>
              <w:bidi w:val="1"/>
            </w:pPr>
            <w:r>
              <w:rPr>
                <w:rtl w:val="1"/>
              </w:rPr>
              <w:t>اللجنة العلمية</w:t>
            </w:r>
          </w:p>
        </w:tc>
      </w:tr>
      <w:tr>
        <w:tc>
          <w:tcPr>
            <w:tcW w:type="dxa" w:w="2016"/>
            <w:vAlign w:val="center"/>
          </w:tcPr>
          <w:p>
            <w:pPr>
              <w:jc w:val="right"/>
              <w:bidi w:val="1"/>
            </w:pPr>
            <w:r>
              <w:rPr>
                <w:rtl w:val="1"/>
              </w:rPr>
              <w:t>الطلبة</w:t>
            </w:r>
          </w:p>
        </w:tc>
        <w:tc>
          <w:tcPr>
            <w:tcW w:type="dxa" w:w="2016"/>
            <w:vAlign w:val="center"/>
          </w:tcPr>
          <w:p>
            <w:pPr>
              <w:jc w:val="right"/>
              <w:bidi w:val="1"/>
            </w:pPr>
            <w:r>
              <w:rPr>
                <w:rtl w:val="1"/>
              </w:rPr>
              <w:t>مشاريع أو عروض علمية طلابية موثقة</w:t>
            </w:r>
          </w:p>
        </w:tc>
        <w:tc>
          <w:tcPr>
            <w:tcW w:type="dxa" w:w="2016"/>
            <w:vAlign w:val="center"/>
          </w:tcPr>
          <w:p>
            <w:pPr>
              <w:jc w:val="right"/>
              <w:bidi w:val="1"/>
            </w:pPr>
            <w:r>
              <w:rPr>
                <w:rtl w:val="1"/>
              </w:rPr>
              <w:t>10 سنوياً</w:t>
            </w:r>
          </w:p>
        </w:tc>
        <w:tc>
          <w:tcPr>
            <w:tcW w:type="dxa" w:w="2016"/>
            <w:vAlign w:val="center"/>
          </w:tcPr>
          <w:p>
            <w:pPr>
              <w:jc w:val="right"/>
              <w:bidi w:val="1"/>
            </w:pPr>
            <w:r>
              <w:rPr>
                <w:rtl w:val="1"/>
              </w:rPr>
              <w:t>سجلات الأقسام</w:t>
            </w:r>
          </w:p>
        </w:tc>
        <w:tc>
          <w:tcPr>
            <w:tcW w:type="dxa" w:w="2016"/>
            <w:vAlign w:val="center"/>
          </w:tcPr>
          <w:p>
            <w:pPr>
              <w:jc w:val="right"/>
              <w:bidi w:val="1"/>
            </w:pPr>
            <w:r>
              <w:rPr>
                <w:rtl w:val="1"/>
              </w:rPr>
              <w:t>الأقسام العلمية</w:t>
            </w:r>
          </w:p>
        </w:tc>
      </w:tr>
      <w:tr>
        <w:tc>
          <w:tcPr>
            <w:tcW w:type="dxa" w:w="2016"/>
            <w:vAlign w:val="center"/>
          </w:tcPr>
          <w:p>
            <w:pPr>
              <w:jc w:val="right"/>
              <w:bidi w:val="1"/>
            </w:pPr>
            <w:r>
              <w:rPr>
                <w:rtl w:val="1"/>
              </w:rPr>
              <w:t>السلامة</w:t>
            </w:r>
          </w:p>
        </w:tc>
        <w:tc>
          <w:tcPr>
            <w:tcW w:type="dxa" w:w="2016"/>
            <w:vAlign w:val="center"/>
          </w:tcPr>
          <w:p>
            <w:pPr>
              <w:jc w:val="right"/>
              <w:bidi w:val="1"/>
            </w:pPr>
            <w:r>
              <w:rPr>
                <w:rtl w:val="1"/>
              </w:rPr>
              <w:t>نسبة المستفيدين من تدريب السلامة المختبرية المستهدفين</w:t>
            </w:r>
          </w:p>
        </w:tc>
        <w:tc>
          <w:tcPr>
            <w:tcW w:type="dxa" w:w="2016"/>
            <w:vAlign w:val="center"/>
          </w:tcPr>
          <w:p>
            <w:pPr>
              <w:jc w:val="right"/>
              <w:bidi w:val="1"/>
            </w:pPr>
            <w:r>
              <w:rPr>
                <w:rtl w:val="1"/>
              </w:rPr>
              <w:t>100%</w:t>
            </w:r>
          </w:p>
        </w:tc>
        <w:tc>
          <w:tcPr>
            <w:tcW w:type="dxa" w:w="2016"/>
            <w:vAlign w:val="center"/>
          </w:tcPr>
          <w:p>
            <w:pPr>
              <w:jc w:val="right"/>
              <w:bidi w:val="1"/>
            </w:pPr>
            <w:r>
              <w:rPr>
                <w:rtl w:val="1"/>
              </w:rPr>
              <w:t>سجلات التدريب</w:t>
            </w:r>
          </w:p>
        </w:tc>
        <w:tc>
          <w:tcPr>
            <w:tcW w:type="dxa" w:w="2016"/>
            <w:vAlign w:val="center"/>
          </w:tcPr>
          <w:p>
            <w:pPr>
              <w:jc w:val="right"/>
              <w:bidi w:val="1"/>
            </w:pPr>
            <w:r>
              <w:rPr>
                <w:rtl w:val="1"/>
              </w:rPr>
              <w:t>مسؤولو المختبرات</w:t>
            </w:r>
          </w:p>
        </w:tc>
      </w:tr>
    </w:tbl>
    <w:p/>
    <w:p>
      <w:pPr>
        <w:pStyle w:val="Heading1"/>
      </w:pPr>
      <w:r>
        <w:t>7. الجدول الزمني العام</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shd w:fill="1F4E79"/>
          </w:tcPr>
          <w:p>
            <w:pPr>
              <w:jc w:val="center"/>
              <w:bidi w:val="1"/>
            </w:pPr>
            <w:r>
              <w:rPr>
                <w:b/>
                <w:color w:val="FFFFFF"/>
                <w:rtl w:val="1"/>
              </w:rPr>
              <w:t>السنة</w:t>
            </w:r>
          </w:p>
        </w:tc>
        <w:tc>
          <w:tcPr>
            <w:tcW w:type="dxa" w:w="2520"/>
            <w:shd w:fill="1F4E79"/>
          </w:tcPr>
          <w:p>
            <w:pPr>
              <w:jc w:val="center"/>
              <w:bidi w:val="1"/>
            </w:pPr>
            <w:r>
              <w:rPr>
                <w:b/>
                <w:color w:val="FFFFFF"/>
                <w:rtl w:val="1"/>
              </w:rPr>
              <w:t>الأولوية</w:t>
            </w:r>
          </w:p>
        </w:tc>
        <w:tc>
          <w:tcPr>
            <w:tcW w:type="dxa" w:w="2520"/>
            <w:shd w:fill="1F4E79"/>
          </w:tcPr>
          <w:p>
            <w:pPr>
              <w:jc w:val="center"/>
              <w:bidi w:val="1"/>
            </w:pPr>
            <w:r>
              <w:rPr>
                <w:b/>
                <w:color w:val="FFFFFF"/>
                <w:rtl w:val="1"/>
              </w:rPr>
              <w:t>الأنشطة الرئيسة</w:t>
            </w:r>
          </w:p>
        </w:tc>
        <w:tc>
          <w:tcPr>
            <w:tcW w:type="dxa" w:w="2520"/>
            <w:shd w:fill="1F4E79"/>
          </w:tcPr>
          <w:p>
            <w:pPr>
              <w:jc w:val="center"/>
              <w:bidi w:val="1"/>
            </w:pPr>
            <w:r>
              <w:rPr>
                <w:b/>
                <w:color w:val="FFFFFF"/>
                <w:rtl w:val="1"/>
              </w:rPr>
              <w:t>المخرج المتوقع</w:t>
            </w:r>
          </w:p>
        </w:tc>
      </w:tr>
      <w:tr>
        <w:tc>
          <w:tcPr>
            <w:tcW w:type="dxa" w:w="2520"/>
            <w:vAlign w:val="center"/>
          </w:tcPr>
          <w:p>
            <w:pPr>
              <w:jc w:val="right"/>
              <w:bidi w:val="1"/>
            </w:pPr>
            <w:r>
              <w:rPr>
                <w:rtl w:val="1"/>
              </w:rPr>
              <w:t>2026</w:t>
            </w:r>
          </w:p>
        </w:tc>
        <w:tc>
          <w:tcPr>
            <w:tcW w:type="dxa" w:w="2520"/>
            <w:vAlign w:val="center"/>
          </w:tcPr>
          <w:p>
            <w:pPr>
              <w:jc w:val="right"/>
              <w:bidi w:val="1"/>
            </w:pPr>
            <w:r>
              <w:rPr>
                <w:rtl w:val="1"/>
              </w:rPr>
              <w:t>التأسيس والتقييم</w:t>
            </w:r>
          </w:p>
        </w:tc>
        <w:tc>
          <w:tcPr>
            <w:tcW w:type="dxa" w:w="2520"/>
            <w:vAlign w:val="center"/>
          </w:tcPr>
          <w:p>
            <w:pPr>
              <w:jc w:val="right"/>
              <w:bidi w:val="1"/>
            </w:pPr>
            <w:r>
              <w:rPr>
                <w:rtl w:val="1"/>
              </w:rPr>
              <w:t>تشكيل اللجان؛ جمع خط الأساس؛ تقييم البرامج والاحتياجات والمخاطر.</w:t>
            </w:r>
          </w:p>
        </w:tc>
        <w:tc>
          <w:tcPr>
            <w:tcW w:type="dxa" w:w="2520"/>
            <w:vAlign w:val="center"/>
          </w:tcPr>
          <w:p>
            <w:pPr>
              <w:jc w:val="right"/>
              <w:bidi w:val="1"/>
            </w:pPr>
            <w:r>
              <w:rPr>
                <w:rtl w:val="1"/>
              </w:rPr>
              <w:t>تقرير خط أساس وخطة تشغيلية.</w:t>
            </w:r>
          </w:p>
        </w:tc>
      </w:tr>
      <w:tr>
        <w:tc>
          <w:tcPr>
            <w:tcW w:type="dxa" w:w="2520"/>
            <w:vAlign w:val="center"/>
          </w:tcPr>
          <w:p>
            <w:pPr>
              <w:jc w:val="right"/>
              <w:bidi w:val="1"/>
            </w:pPr>
            <w:r>
              <w:rPr>
                <w:rtl w:val="1"/>
              </w:rPr>
              <w:t>2027</w:t>
            </w:r>
          </w:p>
        </w:tc>
        <w:tc>
          <w:tcPr>
            <w:tcW w:type="dxa" w:w="2520"/>
            <w:vAlign w:val="center"/>
          </w:tcPr>
          <w:p>
            <w:pPr>
              <w:jc w:val="right"/>
              <w:bidi w:val="1"/>
            </w:pPr>
            <w:r>
              <w:rPr>
                <w:rtl w:val="1"/>
              </w:rPr>
              <w:t>التطوير</w:t>
            </w:r>
          </w:p>
        </w:tc>
        <w:tc>
          <w:tcPr>
            <w:tcW w:type="dxa" w:w="2520"/>
            <w:vAlign w:val="center"/>
          </w:tcPr>
          <w:p>
            <w:pPr>
              <w:jc w:val="right"/>
              <w:bidi w:val="1"/>
            </w:pPr>
            <w:r>
              <w:rPr>
                <w:rtl w:val="1"/>
              </w:rPr>
              <w:t>تحديث البرامج؛ التدريب؛ معالجة الأولويات؛ تفعيل مؤشرات الأداء.</w:t>
            </w:r>
          </w:p>
        </w:tc>
        <w:tc>
          <w:tcPr>
            <w:tcW w:type="dxa" w:w="2520"/>
            <w:vAlign w:val="center"/>
          </w:tcPr>
          <w:p>
            <w:pPr>
              <w:jc w:val="right"/>
              <w:bidi w:val="1"/>
            </w:pPr>
            <w:r>
              <w:rPr>
                <w:rtl w:val="1"/>
              </w:rPr>
              <w:t>برامج مطورة وتقارير متابعة.</w:t>
            </w:r>
          </w:p>
        </w:tc>
      </w:tr>
      <w:tr>
        <w:tc>
          <w:tcPr>
            <w:tcW w:type="dxa" w:w="2520"/>
            <w:vAlign w:val="center"/>
          </w:tcPr>
          <w:p>
            <w:pPr>
              <w:jc w:val="right"/>
              <w:bidi w:val="1"/>
            </w:pPr>
            <w:r>
              <w:rPr>
                <w:rtl w:val="1"/>
              </w:rPr>
              <w:t>2028</w:t>
            </w:r>
          </w:p>
        </w:tc>
        <w:tc>
          <w:tcPr>
            <w:tcW w:type="dxa" w:w="2520"/>
            <w:vAlign w:val="center"/>
          </w:tcPr>
          <w:p>
            <w:pPr>
              <w:jc w:val="right"/>
              <w:bidi w:val="1"/>
            </w:pPr>
            <w:r>
              <w:rPr>
                <w:rtl w:val="1"/>
              </w:rPr>
              <w:t>التوسع والمراجعة</w:t>
            </w:r>
          </w:p>
        </w:tc>
        <w:tc>
          <w:tcPr>
            <w:tcW w:type="dxa" w:w="2520"/>
            <w:vAlign w:val="center"/>
          </w:tcPr>
          <w:p>
            <w:pPr>
              <w:jc w:val="right"/>
              <w:bidi w:val="1"/>
            </w:pPr>
            <w:r>
              <w:rPr>
                <w:rtl w:val="1"/>
              </w:rPr>
              <w:t>توسيع الشراكات والمبادرات؛ مراجعة منتصف المدة؛ معالجة الفجوات.</w:t>
            </w:r>
          </w:p>
        </w:tc>
        <w:tc>
          <w:tcPr>
            <w:tcW w:type="dxa" w:w="2520"/>
            <w:vAlign w:val="center"/>
          </w:tcPr>
          <w:p>
            <w:pPr>
              <w:jc w:val="right"/>
              <w:bidi w:val="1"/>
            </w:pPr>
            <w:r>
              <w:rPr>
                <w:rtl w:val="1"/>
              </w:rPr>
              <w:t>تقرير منتصف المدة وخطة تصحيح.</w:t>
            </w:r>
          </w:p>
        </w:tc>
      </w:tr>
      <w:tr>
        <w:tc>
          <w:tcPr>
            <w:tcW w:type="dxa" w:w="2520"/>
            <w:vAlign w:val="center"/>
          </w:tcPr>
          <w:p>
            <w:pPr>
              <w:jc w:val="right"/>
              <w:bidi w:val="1"/>
            </w:pPr>
            <w:r>
              <w:rPr>
                <w:rtl w:val="1"/>
              </w:rPr>
              <w:t>2029</w:t>
            </w:r>
          </w:p>
        </w:tc>
        <w:tc>
          <w:tcPr>
            <w:tcW w:type="dxa" w:w="2520"/>
            <w:vAlign w:val="center"/>
          </w:tcPr>
          <w:p>
            <w:pPr>
              <w:jc w:val="right"/>
              <w:bidi w:val="1"/>
            </w:pPr>
            <w:r>
              <w:rPr>
                <w:rtl w:val="1"/>
              </w:rPr>
              <w:t>الجودة والتحسين</w:t>
            </w:r>
          </w:p>
        </w:tc>
        <w:tc>
          <w:tcPr>
            <w:tcW w:type="dxa" w:w="2520"/>
            <w:vAlign w:val="center"/>
          </w:tcPr>
          <w:p>
            <w:pPr>
              <w:jc w:val="right"/>
              <w:bidi w:val="1"/>
            </w:pPr>
            <w:r>
              <w:rPr>
                <w:rtl w:val="1"/>
              </w:rPr>
              <w:t>استكمال الأدلة؛ تقييم التنفيذ؛ توثيق التحسينات.</w:t>
            </w:r>
          </w:p>
        </w:tc>
        <w:tc>
          <w:tcPr>
            <w:tcW w:type="dxa" w:w="2520"/>
            <w:vAlign w:val="center"/>
          </w:tcPr>
          <w:p>
            <w:pPr>
              <w:jc w:val="right"/>
              <w:bidi w:val="1"/>
            </w:pPr>
            <w:r>
              <w:rPr>
                <w:rtl w:val="1"/>
              </w:rPr>
              <w:t>ملفات جودة وخطط تحسين.</w:t>
            </w:r>
          </w:p>
        </w:tc>
      </w:tr>
      <w:tr>
        <w:tc>
          <w:tcPr>
            <w:tcW w:type="dxa" w:w="2520"/>
            <w:vAlign w:val="center"/>
          </w:tcPr>
          <w:p>
            <w:pPr>
              <w:jc w:val="right"/>
              <w:bidi w:val="1"/>
            </w:pPr>
            <w:r>
              <w:rPr>
                <w:rtl w:val="1"/>
              </w:rPr>
              <w:t>2030</w:t>
            </w:r>
          </w:p>
        </w:tc>
        <w:tc>
          <w:tcPr>
            <w:tcW w:type="dxa" w:w="2520"/>
            <w:vAlign w:val="center"/>
          </w:tcPr>
          <w:p>
            <w:pPr>
              <w:jc w:val="right"/>
              <w:bidi w:val="1"/>
            </w:pPr>
            <w:r>
              <w:rPr>
                <w:rtl w:val="1"/>
              </w:rPr>
              <w:t>التقييم والتجديد</w:t>
            </w:r>
          </w:p>
        </w:tc>
        <w:tc>
          <w:tcPr>
            <w:tcW w:type="dxa" w:w="2520"/>
            <w:vAlign w:val="center"/>
          </w:tcPr>
          <w:p>
            <w:pPr>
              <w:jc w:val="right"/>
              <w:bidi w:val="1"/>
            </w:pPr>
            <w:r>
              <w:rPr>
                <w:rtl w:val="1"/>
              </w:rPr>
              <w:t>قياس النتائج والأثر؛ توثيق الدروس المستفادة.</w:t>
            </w:r>
          </w:p>
        </w:tc>
        <w:tc>
          <w:tcPr>
            <w:tcW w:type="dxa" w:w="2520"/>
            <w:vAlign w:val="center"/>
          </w:tcPr>
          <w:p>
            <w:pPr>
              <w:jc w:val="right"/>
              <w:bidi w:val="1"/>
            </w:pPr>
            <w:r>
              <w:rPr>
                <w:rtl w:val="1"/>
              </w:rPr>
              <w:t>تقرير ختامي ومسودة الخطة التالية.</w:t>
            </w:r>
          </w:p>
        </w:tc>
      </w:tr>
    </w:tbl>
    <w:p/>
    <w:p>
      <w:pPr>
        <w:pStyle w:val="Heading1"/>
      </w:pPr>
      <w:r>
        <w:t>8. الحوكمة وتوزيع المسؤوليات</w:t>
      </w:r>
    </w:p>
    <w:p>
      <w:pPr>
        <w:jc w:val="right"/>
        <w:bidi w:val="1"/>
      </w:pPr>
      <w:r>
        <w:rPr>
          <w:b w:val="0"/>
          <w:rtl w:val="1"/>
        </w:rPr>
        <w:t>تُشكّل لجنة لمتابعة الخطة برئاسة عميد الكلية وعضوية معاون العميد ورؤساء الأقسام ومسؤول ضمان الجودة وممثلين عن الوحدات ذات الصلة. وتُحدد المسؤوليات النهائية بقرار إداري.</w:t>
      </w:r>
    </w:p>
    <w:p>
      <w:pPr>
        <w:pStyle w:val="ListBullet"/>
        <w:jc w:val="right"/>
        <w:bidi w:val="1"/>
      </w:pPr>
      <w:r>
        <w:rPr>
          <w:rtl w:val="1"/>
        </w:rPr>
        <w:t>عميد الكلية: الإشراف العام وإقرار الأولويات ورفع التقارير.</w:t>
      </w:r>
    </w:p>
    <w:p>
      <w:pPr>
        <w:pStyle w:val="ListBullet"/>
        <w:jc w:val="right"/>
        <w:bidi w:val="1"/>
      </w:pPr>
      <w:r>
        <w:rPr>
          <w:rtl w:val="1"/>
        </w:rPr>
        <w:t>اللجنة الاستراتيجية: متابعة التنفيذ ومراجعة المؤشرات وتنسيق الخطط التشغيلية.</w:t>
      </w:r>
    </w:p>
    <w:p>
      <w:pPr>
        <w:pStyle w:val="ListBullet"/>
        <w:jc w:val="right"/>
        <w:bidi w:val="1"/>
      </w:pPr>
      <w:r>
        <w:rPr>
          <w:rtl w:val="1"/>
        </w:rPr>
        <w:t>رؤساء الأقسام: تنفيذ المبادرات وجمع بيانات الإنجاز.</w:t>
      </w:r>
    </w:p>
    <w:p>
      <w:pPr>
        <w:pStyle w:val="ListBullet"/>
        <w:jc w:val="right"/>
        <w:bidi w:val="1"/>
      </w:pPr>
      <w:r>
        <w:rPr>
          <w:rtl w:val="1"/>
        </w:rPr>
        <w:t>مسؤول ضمان الجودة: توثيق الأدلة ومتابعة التحسين المستمر.</w:t>
      </w:r>
    </w:p>
    <w:p>
      <w:pPr>
        <w:pStyle w:val="ListBullet"/>
        <w:jc w:val="right"/>
        <w:bidi w:val="1"/>
      </w:pPr>
      <w:r>
        <w:rPr>
          <w:rtl w:val="1"/>
        </w:rPr>
        <w:t>مسؤولو المختبرات أو الأنظمة ذات الصلة: متابعة الجاهزية والصيانة والسلامة أو البنية الرقمية.</w:t>
      </w:r>
    </w:p>
    <w:p>
      <w:pPr>
        <w:pStyle w:val="ListBullet"/>
        <w:jc w:val="right"/>
        <w:bidi w:val="1"/>
      </w:pPr>
      <w:r>
        <w:rPr>
          <w:rtl w:val="1"/>
        </w:rPr>
        <w:t>الوحدات الإدارية والمالية: تقدير الموارد ومتابعة الاحتياجات وفق الأصول.</w:t>
      </w:r>
    </w:p>
    <w:p>
      <w:pPr>
        <w:pStyle w:val="Heading1"/>
      </w:pPr>
      <w:r>
        <w:t>9. المتابعة والتقييم</w:t>
      </w:r>
    </w:p>
    <w:p>
      <w:pPr>
        <w:jc w:val="right"/>
        <w:bidi w:val="1"/>
      </w:pPr>
      <w:r>
        <w:rPr>
          <w:b w:val="0"/>
          <w:rtl w:val="1"/>
        </w:rPr>
        <w:t>تُراجع مؤشرات الأداء فصلياً، وتُعد الأقسام تقارير تتضمن المستهدف والنتيجة الفعلية والأدلة والمعوقات والإجراءات التصحيحية. ويُرفع تقرير سنوي إلى عمادة الكلية ورئاسة الجامعة، مع مراجعة منتصف المدة في 2028 وتقييم ختامي في 2030.</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shd w:fill="1F4E79"/>
          </w:tcPr>
          <w:p>
            <w:pPr>
              <w:jc w:val="center"/>
              <w:bidi w:val="1"/>
            </w:pPr>
            <w:r>
              <w:rPr>
                <w:b/>
                <w:color w:val="FFFFFF"/>
                <w:rtl w:val="1"/>
              </w:rPr>
              <w:t>النشاط</w:t>
            </w:r>
          </w:p>
        </w:tc>
        <w:tc>
          <w:tcPr>
            <w:tcW w:type="dxa" w:w="2520"/>
            <w:shd w:fill="1F4E79"/>
          </w:tcPr>
          <w:p>
            <w:pPr>
              <w:jc w:val="center"/>
              <w:bidi w:val="1"/>
            </w:pPr>
            <w:r>
              <w:rPr>
                <w:b/>
                <w:color w:val="FFFFFF"/>
                <w:rtl w:val="1"/>
              </w:rPr>
              <w:t>التكرار</w:t>
            </w:r>
          </w:p>
        </w:tc>
        <w:tc>
          <w:tcPr>
            <w:tcW w:type="dxa" w:w="2520"/>
            <w:shd w:fill="1F4E79"/>
          </w:tcPr>
          <w:p>
            <w:pPr>
              <w:jc w:val="center"/>
              <w:bidi w:val="1"/>
            </w:pPr>
            <w:r>
              <w:rPr>
                <w:b/>
                <w:color w:val="FFFFFF"/>
                <w:rtl w:val="1"/>
              </w:rPr>
              <w:t>المسؤول</w:t>
            </w:r>
          </w:p>
        </w:tc>
        <w:tc>
          <w:tcPr>
            <w:tcW w:type="dxa" w:w="2520"/>
            <w:shd w:fill="1F4E79"/>
          </w:tcPr>
          <w:p>
            <w:pPr>
              <w:jc w:val="center"/>
              <w:bidi w:val="1"/>
            </w:pPr>
            <w:r>
              <w:rPr>
                <w:b/>
                <w:color w:val="FFFFFF"/>
                <w:rtl w:val="1"/>
              </w:rPr>
              <w:t>المخرج</w:t>
            </w:r>
          </w:p>
        </w:tc>
      </w:tr>
      <w:tr>
        <w:tc>
          <w:tcPr>
            <w:tcW w:type="dxa" w:w="2520"/>
            <w:vAlign w:val="center"/>
          </w:tcPr>
          <w:p>
            <w:pPr>
              <w:jc w:val="right"/>
              <w:bidi w:val="1"/>
            </w:pPr>
            <w:r>
              <w:rPr>
                <w:rtl w:val="1"/>
              </w:rPr>
              <w:t>تحديث المؤشرات</w:t>
            </w:r>
          </w:p>
        </w:tc>
        <w:tc>
          <w:tcPr>
            <w:tcW w:type="dxa" w:w="2520"/>
            <w:vAlign w:val="center"/>
          </w:tcPr>
          <w:p>
            <w:pPr>
              <w:jc w:val="right"/>
              <w:bidi w:val="1"/>
            </w:pPr>
            <w:r>
              <w:rPr>
                <w:rtl w:val="1"/>
              </w:rPr>
              <w:t>فصلي</w:t>
            </w:r>
          </w:p>
        </w:tc>
        <w:tc>
          <w:tcPr>
            <w:tcW w:type="dxa" w:w="2520"/>
            <w:vAlign w:val="center"/>
          </w:tcPr>
          <w:p>
            <w:pPr>
              <w:jc w:val="right"/>
              <w:bidi w:val="1"/>
            </w:pPr>
            <w:r>
              <w:rPr>
                <w:rtl w:val="1"/>
              </w:rPr>
              <w:t>الأقسام والوحدات</w:t>
            </w:r>
          </w:p>
        </w:tc>
        <w:tc>
          <w:tcPr>
            <w:tcW w:type="dxa" w:w="2520"/>
            <w:vAlign w:val="center"/>
          </w:tcPr>
          <w:p>
            <w:pPr>
              <w:jc w:val="right"/>
              <w:bidi w:val="1"/>
            </w:pPr>
            <w:r>
              <w:rPr>
                <w:rtl w:val="1"/>
              </w:rPr>
              <w:t>سجل مؤشرات محدث</w:t>
            </w:r>
          </w:p>
        </w:tc>
      </w:tr>
      <w:tr>
        <w:tc>
          <w:tcPr>
            <w:tcW w:type="dxa" w:w="2520"/>
            <w:vAlign w:val="center"/>
          </w:tcPr>
          <w:p>
            <w:pPr>
              <w:jc w:val="right"/>
              <w:bidi w:val="1"/>
            </w:pPr>
            <w:r>
              <w:rPr>
                <w:rtl w:val="1"/>
              </w:rPr>
              <w:t>اجتماع لجنة الخطة</w:t>
            </w:r>
          </w:p>
        </w:tc>
        <w:tc>
          <w:tcPr>
            <w:tcW w:type="dxa" w:w="2520"/>
            <w:vAlign w:val="center"/>
          </w:tcPr>
          <w:p>
            <w:pPr>
              <w:jc w:val="right"/>
              <w:bidi w:val="1"/>
            </w:pPr>
            <w:r>
              <w:rPr>
                <w:rtl w:val="1"/>
              </w:rPr>
              <w:t>فصلي</w:t>
            </w:r>
          </w:p>
        </w:tc>
        <w:tc>
          <w:tcPr>
            <w:tcW w:type="dxa" w:w="2520"/>
            <w:vAlign w:val="center"/>
          </w:tcPr>
          <w:p>
            <w:pPr>
              <w:jc w:val="right"/>
              <w:bidi w:val="1"/>
            </w:pPr>
            <w:r>
              <w:rPr>
                <w:rtl w:val="1"/>
              </w:rPr>
              <w:t>اللجنة الاستراتيجية</w:t>
            </w:r>
          </w:p>
        </w:tc>
        <w:tc>
          <w:tcPr>
            <w:tcW w:type="dxa" w:w="2520"/>
            <w:vAlign w:val="center"/>
          </w:tcPr>
          <w:p>
            <w:pPr>
              <w:jc w:val="right"/>
              <w:bidi w:val="1"/>
            </w:pPr>
            <w:r>
              <w:rPr>
                <w:rtl w:val="1"/>
              </w:rPr>
              <w:t>محضر قرارات ومهام</w:t>
            </w:r>
          </w:p>
        </w:tc>
      </w:tr>
      <w:tr>
        <w:tc>
          <w:tcPr>
            <w:tcW w:type="dxa" w:w="2520"/>
            <w:vAlign w:val="center"/>
          </w:tcPr>
          <w:p>
            <w:pPr>
              <w:jc w:val="right"/>
              <w:bidi w:val="1"/>
            </w:pPr>
            <w:r>
              <w:rPr>
                <w:rtl w:val="1"/>
              </w:rPr>
              <w:t>تقرير الإنجاز</w:t>
            </w:r>
          </w:p>
        </w:tc>
        <w:tc>
          <w:tcPr>
            <w:tcW w:type="dxa" w:w="2520"/>
            <w:vAlign w:val="center"/>
          </w:tcPr>
          <w:p>
            <w:pPr>
              <w:jc w:val="right"/>
              <w:bidi w:val="1"/>
            </w:pPr>
            <w:r>
              <w:rPr>
                <w:rtl w:val="1"/>
              </w:rPr>
              <w:t>سنوي</w:t>
            </w:r>
          </w:p>
        </w:tc>
        <w:tc>
          <w:tcPr>
            <w:tcW w:type="dxa" w:w="2520"/>
            <w:vAlign w:val="center"/>
          </w:tcPr>
          <w:p>
            <w:pPr>
              <w:jc w:val="right"/>
              <w:bidi w:val="1"/>
            </w:pPr>
            <w:r>
              <w:rPr>
                <w:rtl w:val="1"/>
              </w:rPr>
              <w:t>عمادة الكلية</w:t>
            </w:r>
          </w:p>
        </w:tc>
        <w:tc>
          <w:tcPr>
            <w:tcW w:type="dxa" w:w="2520"/>
            <w:vAlign w:val="center"/>
          </w:tcPr>
          <w:p>
            <w:pPr>
              <w:jc w:val="right"/>
              <w:bidi w:val="1"/>
            </w:pPr>
            <w:r>
              <w:rPr>
                <w:rtl w:val="1"/>
              </w:rPr>
              <w:t>تقرير رسمي موثق</w:t>
            </w:r>
          </w:p>
        </w:tc>
      </w:tr>
      <w:tr>
        <w:tc>
          <w:tcPr>
            <w:tcW w:type="dxa" w:w="2520"/>
            <w:vAlign w:val="center"/>
          </w:tcPr>
          <w:p>
            <w:pPr>
              <w:jc w:val="right"/>
              <w:bidi w:val="1"/>
            </w:pPr>
            <w:r>
              <w:rPr>
                <w:rtl w:val="1"/>
              </w:rPr>
              <w:t>مراجعة منتصف المدة</w:t>
            </w:r>
          </w:p>
        </w:tc>
        <w:tc>
          <w:tcPr>
            <w:tcW w:type="dxa" w:w="2520"/>
            <w:vAlign w:val="center"/>
          </w:tcPr>
          <w:p>
            <w:pPr>
              <w:jc w:val="right"/>
              <w:bidi w:val="1"/>
            </w:pPr>
            <w:r>
              <w:rPr>
                <w:rtl w:val="1"/>
              </w:rPr>
              <w:t>2028</w:t>
            </w:r>
          </w:p>
        </w:tc>
        <w:tc>
          <w:tcPr>
            <w:tcW w:type="dxa" w:w="2520"/>
            <w:vAlign w:val="center"/>
          </w:tcPr>
          <w:p>
            <w:pPr>
              <w:jc w:val="right"/>
              <w:bidi w:val="1"/>
            </w:pPr>
            <w:r>
              <w:rPr>
                <w:rtl w:val="1"/>
              </w:rPr>
              <w:t>اللجنة العليا</w:t>
            </w:r>
          </w:p>
        </w:tc>
        <w:tc>
          <w:tcPr>
            <w:tcW w:type="dxa" w:w="2520"/>
            <w:vAlign w:val="center"/>
          </w:tcPr>
          <w:p>
            <w:pPr>
              <w:jc w:val="right"/>
              <w:bidi w:val="1"/>
            </w:pPr>
            <w:r>
              <w:rPr>
                <w:rtl w:val="1"/>
              </w:rPr>
              <w:t>تحليل فجوات وخطة تصحيح</w:t>
            </w:r>
          </w:p>
        </w:tc>
      </w:tr>
      <w:tr>
        <w:tc>
          <w:tcPr>
            <w:tcW w:type="dxa" w:w="2520"/>
            <w:vAlign w:val="center"/>
          </w:tcPr>
          <w:p>
            <w:pPr>
              <w:jc w:val="right"/>
              <w:bidi w:val="1"/>
            </w:pPr>
            <w:r>
              <w:rPr>
                <w:rtl w:val="1"/>
              </w:rPr>
              <w:t>التقييم الختامي</w:t>
            </w:r>
          </w:p>
        </w:tc>
        <w:tc>
          <w:tcPr>
            <w:tcW w:type="dxa" w:w="2520"/>
            <w:vAlign w:val="center"/>
          </w:tcPr>
          <w:p>
            <w:pPr>
              <w:jc w:val="right"/>
              <w:bidi w:val="1"/>
            </w:pPr>
            <w:r>
              <w:rPr>
                <w:rtl w:val="1"/>
              </w:rPr>
              <w:t>2030</w:t>
            </w:r>
          </w:p>
        </w:tc>
        <w:tc>
          <w:tcPr>
            <w:tcW w:type="dxa" w:w="2520"/>
            <w:vAlign w:val="center"/>
          </w:tcPr>
          <w:p>
            <w:pPr>
              <w:jc w:val="right"/>
              <w:bidi w:val="1"/>
            </w:pPr>
            <w:r>
              <w:rPr>
                <w:rtl w:val="1"/>
              </w:rPr>
              <w:t>العمادة واللجنة العليا</w:t>
            </w:r>
          </w:p>
        </w:tc>
        <w:tc>
          <w:tcPr>
            <w:tcW w:type="dxa" w:w="2520"/>
            <w:vAlign w:val="center"/>
          </w:tcPr>
          <w:p>
            <w:pPr>
              <w:jc w:val="right"/>
              <w:bidi w:val="1"/>
            </w:pPr>
            <w:r>
              <w:rPr>
                <w:rtl w:val="1"/>
              </w:rPr>
              <w:t>تقرير أثر وتوصيات</w:t>
            </w:r>
          </w:p>
        </w:tc>
      </w:tr>
    </w:tbl>
    <w:p/>
    <w:p>
      <w:pPr>
        <w:pStyle w:val="Heading1"/>
      </w:pPr>
      <w:r>
        <w:t>10. إدارة المخاطر</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1F4E79"/>
          </w:tcPr>
          <w:p>
            <w:pPr>
              <w:jc w:val="center"/>
              <w:bidi w:val="1"/>
            </w:pPr>
            <w:r>
              <w:rPr>
                <w:b/>
                <w:color w:val="FFFFFF"/>
                <w:rtl w:val="1"/>
              </w:rPr>
              <w:t>الخطر المحتمل</w:t>
            </w:r>
          </w:p>
        </w:tc>
        <w:tc>
          <w:tcPr>
            <w:tcW w:type="dxa" w:w="3360"/>
            <w:shd w:fill="1F4E79"/>
          </w:tcPr>
          <w:p>
            <w:pPr>
              <w:jc w:val="center"/>
              <w:bidi w:val="1"/>
            </w:pPr>
            <w:r>
              <w:rPr>
                <w:b/>
                <w:color w:val="FFFFFF"/>
                <w:rtl w:val="1"/>
              </w:rPr>
              <w:t>الأثر</w:t>
            </w:r>
          </w:p>
        </w:tc>
        <w:tc>
          <w:tcPr>
            <w:tcW w:type="dxa" w:w="3360"/>
            <w:shd w:fill="1F4E79"/>
          </w:tcPr>
          <w:p>
            <w:pPr>
              <w:jc w:val="center"/>
              <w:bidi w:val="1"/>
            </w:pPr>
            <w:r>
              <w:rPr>
                <w:b/>
                <w:color w:val="FFFFFF"/>
                <w:rtl w:val="1"/>
              </w:rPr>
              <w:t>إجراء المعالجة</w:t>
            </w:r>
          </w:p>
        </w:tc>
      </w:tr>
      <w:tr>
        <w:tc>
          <w:tcPr>
            <w:tcW w:type="dxa" w:w="3360"/>
            <w:vAlign w:val="center"/>
          </w:tcPr>
          <w:p>
            <w:pPr>
              <w:jc w:val="right"/>
              <w:bidi w:val="1"/>
            </w:pPr>
            <w:r>
              <w:rPr>
                <w:rtl w:val="1"/>
              </w:rPr>
              <w:t>محدودية التمويل</w:t>
            </w:r>
          </w:p>
        </w:tc>
        <w:tc>
          <w:tcPr>
            <w:tcW w:type="dxa" w:w="3360"/>
            <w:vAlign w:val="center"/>
          </w:tcPr>
          <w:p>
            <w:pPr>
              <w:jc w:val="right"/>
              <w:bidi w:val="1"/>
            </w:pPr>
            <w:r>
              <w:rPr>
                <w:rtl w:val="1"/>
              </w:rPr>
              <w:t>تأخر تنفيذ المبادرات</w:t>
            </w:r>
          </w:p>
        </w:tc>
        <w:tc>
          <w:tcPr>
            <w:tcW w:type="dxa" w:w="3360"/>
            <w:vAlign w:val="center"/>
          </w:tcPr>
          <w:p>
            <w:pPr>
              <w:jc w:val="right"/>
              <w:bidi w:val="1"/>
            </w:pPr>
            <w:r>
              <w:rPr>
                <w:rtl w:val="1"/>
              </w:rPr>
              <w:t>ترتيب الأولويات والتنفيذ المرحلي وتطوير الشراكات.</w:t>
            </w:r>
          </w:p>
        </w:tc>
      </w:tr>
      <w:tr>
        <w:tc>
          <w:tcPr>
            <w:tcW w:type="dxa" w:w="3360"/>
            <w:vAlign w:val="center"/>
          </w:tcPr>
          <w:p>
            <w:pPr>
              <w:jc w:val="right"/>
              <w:bidi w:val="1"/>
            </w:pPr>
            <w:r>
              <w:rPr>
                <w:rtl w:val="1"/>
              </w:rPr>
              <w:t>ضعف البيانات</w:t>
            </w:r>
          </w:p>
        </w:tc>
        <w:tc>
          <w:tcPr>
            <w:tcW w:type="dxa" w:w="3360"/>
            <w:vAlign w:val="center"/>
          </w:tcPr>
          <w:p>
            <w:pPr>
              <w:jc w:val="right"/>
              <w:bidi w:val="1"/>
            </w:pPr>
            <w:r>
              <w:rPr>
                <w:rtl w:val="1"/>
              </w:rPr>
              <w:t>صعوبة قياس الإنجاز</w:t>
            </w:r>
          </w:p>
        </w:tc>
        <w:tc>
          <w:tcPr>
            <w:tcW w:type="dxa" w:w="3360"/>
            <w:vAlign w:val="center"/>
          </w:tcPr>
          <w:p>
            <w:pPr>
              <w:jc w:val="right"/>
              <w:bidi w:val="1"/>
            </w:pPr>
            <w:r>
              <w:rPr>
                <w:rtl w:val="1"/>
              </w:rPr>
              <w:t>توحيد نماذج البيانات وتحديد مسؤول ومواعيد للتحديث.</w:t>
            </w:r>
          </w:p>
        </w:tc>
      </w:tr>
      <w:tr>
        <w:tc>
          <w:tcPr>
            <w:tcW w:type="dxa" w:w="3360"/>
            <w:vAlign w:val="center"/>
          </w:tcPr>
          <w:p>
            <w:pPr>
              <w:jc w:val="right"/>
              <w:bidi w:val="1"/>
            </w:pPr>
            <w:r>
              <w:rPr>
                <w:rtl w:val="1"/>
              </w:rPr>
              <w:t>ضعف المشاركة</w:t>
            </w:r>
          </w:p>
        </w:tc>
        <w:tc>
          <w:tcPr>
            <w:tcW w:type="dxa" w:w="3360"/>
            <w:vAlign w:val="center"/>
          </w:tcPr>
          <w:p>
            <w:pPr>
              <w:jc w:val="right"/>
              <w:bidi w:val="1"/>
            </w:pPr>
            <w:r>
              <w:rPr>
                <w:rtl w:val="1"/>
              </w:rPr>
              <w:t>تأخر الأنشطة</w:t>
            </w:r>
          </w:p>
        </w:tc>
        <w:tc>
          <w:tcPr>
            <w:tcW w:type="dxa" w:w="3360"/>
            <w:vAlign w:val="center"/>
          </w:tcPr>
          <w:p>
            <w:pPr>
              <w:jc w:val="right"/>
              <w:bidi w:val="1"/>
            </w:pPr>
            <w:r>
              <w:rPr>
                <w:rtl w:val="1"/>
              </w:rPr>
              <w:t>تحديد مسؤوليات واضحة ومتابعة دورية.</w:t>
            </w:r>
          </w:p>
        </w:tc>
      </w:tr>
      <w:tr>
        <w:tc>
          <w:tcPr>
            <w:tcW w:type="dxa" w:w="3360"/>
            <w:vAlign w:val="center"/>
          </w:tcPr>
          <w:p>
            <w:pPr>
              <w:jc w:val="right"/>
              <w:bidi w:val="1"/>
            </w:pPr>
            <w:r>
              <w:rPr>
                <w:rtl w:val="1"/>
              </w:rPr>
              <w:t>تغير احتياجات السوق أو المعرفة</w:t>
            </w:r>
          </w:p>
        </w:tc>
        <w:tc>
          <w:tcPr>
            <w:tcW w:type="dxa" w:w="3360"/>
            <w:vAlign w:val="center"/>
          </w:tcPr>
          <w:p>
            <w:pPr>
              <w:jc w:val="right"/>
              <w:bidi w:val="1"/>
            </w:pPr>
            <w:r>
              <w:rPr>
                <w:rtl w:val="1"/>
              </w:rPr>
              <w:t>تقادم بعض المهارات أو المقررات</w:t>
            </w:r>
          </w:p>
        </w:tc>
        <w:tc>
          <w:tcPr>
            <w:tcW w:type="dxa" w:w="3360"/>
            <w:vAlign w:val="center"/>
          </w:tcPr>
          <w:p>
            <w:pPr>
              <w:jc w:val="right"/>
              <w:bidi w:val="1"/>
            </w:pPr>
            <w:r>
              <w:rPr>
                <w:rtl w:val="1"/>
              </w:rPr>
              <w:t>مراجعة البرامج واستطلاع آراء أصحاب المصلحة.</w:t>
            </w:r>
          </w:p>
        </w:tc>
      </w:tr>
      <w:tr>
        <w:tc>
          <w:tcPr>
            <w:tcW w:type="dxa" w:w="3360"/>
            <w:vAlign w:val="center"/>
          </w:tcPr>
          <w:p>
            <w:pPr>
              <w:jc w:val="right"/>
              <w:bidi w:val="1"/>
            </w:pPr>
            <w:r>
              <w:rPr>
                <w:rtl w:val="1"/>
              </w:rPr>
              <w:t>مخاطر السلامة أو أمن البيانات</w:t>
            </w:r>
          </w:p>
        </w:tc>
        <w:tc>
          <w:tcPr>
            <w:tcW w:type="dxa" w:w="3360"/>
            <w:vAlign w:val="center"/>
          </w:tcPr>
          <w:p>
            <w:pPr>
              <w:jc w:val="right"/>
              <w:bidi w:val="1"/>
            </w:pPr>
            <w:r>
              <w:rPr>
                <w:rtl w:val="1"/>
              </w:rPr>
              <w:t>تعطل العمل أو حدوث أضرار</w:t>
            </w:r>
          </w:p>
        </w:tc>
        <w:tc>
          <w:tcPr>
            <w:tcW w:type="dxa" w:w="3360"/>
            <w:vAlign w:val="center"/>
          </w:tcPr>
          <w:p>
            <w:pPr>
              <w:jc w:val="right"/>
              <w:bidi w:val="1"/>
            </w:pPr>
            <w:r>
              <w:rPr>
                <w:rtl w:val="1"/>
              </w:rPr>
              <w:t>تطبيق إجراءات السلامة والنسخ الاحتياطي والتوعية.</w:t>
            </w:r>
          </w:p>
        </w:tc>
      </w:tr>
    </w:tbl>
    <w:p/>
    <w:p>
      <w:pPr>
        <w:pStyle w:val="Heading1"/>
      </w:pPr>
      <w:r>
        <w:t>11. النتائج المتوقعة</w:t>
      </w:r>
    </w:p>
    <w:p>
      <w:pPr>
        <w:pStyle w:val="ListBullet"/>
        <w:jc w:val="right"/>
        <w:bidi w:val="1"/>
      </w:pPr>
      <w:r>
        <w:rPr>
          <w:rtl w:val="1"/>
        </w:rPr>
        <w:t>تحسين جودة التعليم ومخرجات التعلم.</w:t>
      </w:r>
    </w:p>
    <w:p>
      <w:pPr>
        <w:pStyle w:val="ListBullet"/>
        <w:jc w:val="right"/>
        <w:bidi w:val="1"/>
      </w:pPr>
      <w:r>
        <w:rPr>
          <w:rtl w:val="1"/>
        </w:rPr>
        <w:t>تعزيز المهارات العملية والرقمية أو المختبرية بحسب طبيعة الكلية.</w:t>
      </w:r>
    </w:p>
    <w:p>
      <w:pPr>
        <w:pStyle w:val="ListBullet"/>
        <w:jc w:val="right"/>
        <w:bidi w:val="1"/>
      </w:pPr>
      <w:r>
        <w:rPr>
          <w:rtl w:val="1"/>
        </w:rPr>
        <w:t>رفع فاعلية البحث العلمي والتعاون المؤسسي.</w:t>
      </w:r>
    </w:p>
    <w:p>
      <w:pPr>
        <w:pStyle w:val="ListBullet"/>
        <w:jc w:val="right"/>
        <w:bidi w:val="1"/>
      </w:pPr>
      <w:r>
        <w:rPr>
          <w:rtl w:val="1"/>
        </w:rPr>
        <w:t>تحسين توثيق الجودة والتحسين المستمر.</w:t>
      </w:r>
    </w:p>
    <w:p>
      <w:pPr>
        <w:pStyle w:val="ListBullet"/>
        <w:jc w:val="right"/>
        <w:bidi w:val="1"/>
      </w:pPr>
      <w:r>
        <w:rPr>
          <w:rtl w:val="1"/>
        </w:rPr>
        <w:t>توسيع مساهمة الكلية في خدمة المجتمع والتنمية المستدامة.</w:t>
      </w:r>
    </w:p>
    <w:p>
      <w:pPr>
        <w:pStyle w:val="Heading1"/>
      </w:pPr>
      <w:r>
        <w:t>12. اعتماد الخطة</w:t>
      </w:r>
    </w:p>
    <w:p>
      <w:pPr>
        <w:jc w:val="right"/>
        <w:bidi w:val="1"/>
      </w:pPr>
      <w:r>
        <w:rPr>
          <w:b w:val="0"/>
          <w:rtl w:val="1"/>
        </w:rPr>
        <w:t>تُعرض المسودة على مجلس الكلية للمراجعة، ثم تُرفع إلى رئاسة الجامعة لاستكمال إجراءات الاعتماد. وتصبح المستهدفات ملزمة بعد إقرارها رسمياً وتحديد الموارد والجهات المسؤولة.</w:t>
      </w:r>
    </w:p>
    <w:tbl>
      <w:tblPr>
        <w:tblStyle w:val="TableGrid"/>
        <w:tblW w:type="auto" w:w="0"/>
        <w:jc w:val="center"/>
        <w:tblLook w:firstColumn="1" w:firstRow="1" w:lastColumn="0" w:lastRow="0" w:noHBand="0" w:noVBand="1" w:val="04A0"/>
      </w:tblPr>
      <w:tblGrid>
        <w:gridCol w:w="3360"/>
        <w:gridCol w:w="3360"/>
        <w:gridCol w:w="3360"/>
      </w:tblGrid>
      <w:tr>
        <w:tc>
          <w:tcPr>
            <w:tcW w:type="dxa" w:w="3360"/>
            <w:shd w:fill="1F4E79"/>
          </w:tcPr>
          <w:p>
            <w:pPr>
              <w:jc w:val="center"/>
              <w:bidi w:val="1"/>
            </w:pPr>
            <w:r>
              <w:rPr>
                <w:b/>
                <w:color w:val="FFFFFF"/>
                <w:rtl w:val="1"/>
              </w:rPr>
              <w:t>الجهة</w:t>
            </w:r>
          </w:p>
        </w:tc>
        <w:tc>
          <w:tcPr>
            <w:tcW w:type="dxa" w:w="3360"/>
            <w:shd w:fill="1F4E79"/>
          </w:tcPr>
          <w:p>
            <w:pPr>
              <w:jc w:val="center"/>
              <w:bidi w:val="1"/>
            </w:pPr>
            <w:r>
              <w:rPr>
                <w:b/>
                <w:color w:val="FFFFFF"/>
                <w:rtl w:val="1"/>
              </w:rPr>
              <w:t>الاسم والتوقيع</w:t>
            </w:r>
          </w:p>
        </w:tc>
        <w:tc>
          <w:tcPr>
            <w:tcW w:type="dxa" w:w="3360"/>
            <w:shd w:fill="1F4E79"/>
          </w:tcPr>
          <w:p>
            <w:pPr>
              <w:jc w:val="center"/>
              <w:bidi w:val="1"/>
            </w:pPr>
            <w:r>
              <w:rPr>
                <w:b/>
                <w:color w:val="FFFFFF"/>
                <w:rtl w:val="1"/>
              </w:rPr>
              <w:t>التاريخ</w:t>
            </w:r>
          </w:p>
        </w:tc>
      </w:tr>
      <w:tr>
        <w:tc>
          <w:tcPr>
            <w:tcW w:type="dxa" w:w="3360"/>
            <w:vAlign w:val="center"/>
          </w:tcPr>
          <w:p>
            <w:pPr>
              <w:jc w:val="right"/>
              <w:bidi w:val="1"/>
            </w:pPr>
            <w:r>
              <w:rPr>
                <w:rtl w:val="1"/>
              </w:rPr>
              <w:t>عميد كلية العلوم</w:t>
            </w:r>
          </w:p>
        </w:tc>
        <w:tc>
          <w:tcPr>
            <w:tcW w:type="dxa" w:w="3360"/>
            <w:vAlign w:val="center"/>
          </w:tcPr>
          <w:p>
            <w:pPr>
              <w:jc w:val="right"/>
              <w:bidi w:val="1"/>
            </w:pPr>
            <w:r>
              <w:rPr>
                <w:rtl w:val="1"/>
              </w:rPr>
              <w:t>..............................</w:t>
            </w:r>
          </w:p>
        </w:tc>
        <w:tc>
          <w:tcPr>
            <w:tcW w:type="dxa" w:w="3360"/>
            <w:vAlign w:val="center"/>
          </w:tcPr>
          <w:p>
            <w:pPr>
              <w:jc w:val="right"/>
              <w:bidi w:val="1"/>
            </w:pPr>
            <w:r>
              <w:rPr>
                <w:rtl w:val="1"/>
              </w:rPr>
              <w:t>................</w:t>
            </w:r>
          </w:p>
        </w:tc>
      </w:tr>
      <w:tr>
        <w:tc>
          <w:tcPr>
            <w:tcW w:type="dxa" w:w="3360"/>
            <w:vAlign w:val="center"/>
          </w:tcPr>
          <w:p>
            <w:pPr>
              <w:jc w:val="right"/>
              <w:bidi w:val="1"/>
            </w:pPr>
            <w:r>
              <w:rPr>
                <w:rtl w:val="1"/>
              </w:rPr>
              <w:t>رئيس لجنة الخطة الاستراتيجية</w:t>
            </w:r>
          </w:p>
        </w:tc>
        <w:tc>
          <w:tcPr>
            <w:tcW w:type="dxa" w:w="3360"/>
            <w:vAlign w:val="center"/>
          </w:tcPr>
          <w:p>
            <w:pPr>
              <w:jc w:val="right"/>
              <w:bidi w:val="1"/>
            </w:pPr>
            <w:r>
              <w:rPr>
                <w:rtl w:val="1"/>
              </w:rPr>
              <w:t>..............................</w:t>
            </w:r>
          </w:p>
        </w:tc>
        <w:tc>
          <w:tcPr>
            <w:tcW w:type="dxa" w:w="3360"/>
            <w:vAlign w:val="center"/>
          </w:tcPr>
          <w:p>
            <w:pPr>
              <w:jc w:val="right"/>
              <w:bidi w:val="1"/>
            </w:pPr>
            <w:r>
              <w:rPr>
                <w:rtl w:val="1"/>
              </w:rPr>
              <w:t>................</w:t>
            </w:r>
          </w:p>
        </w:tc>
      </w:tr>
      <w:tr>
        <w:tc>
          <w:tcPr>
            <w:tcW w:type="dxa" w:w="3360"/>
            <w:vAlign w:val="center"/>
          </w:tcPr>
          <w:p>
            <w:pPr>
              <w:jc w:val="right"/>
              <w:bidi w:val="1"/>
            </w:pPr>
            <w:r>
              <w:rPr>
                <w:rtl w:val="1"/>
              </w:rPr>
              <w:t>رئيس الجامعة / الجهة المخولة</w:t>
            </w:r>
          </w:p>
        </w:tc>
        <w:tc>
          <w:tcPr>
            <w:tcW w:type="dxa" w:w="3360"/>
            <w:vAlign w:val="center"/>
          </w:tcPr>
          <w:p>
            <w:pPr>
              <w:jc w:val="right"/>
              <w:bidi w:val="1"/>
            </w:pPr>
            <w:r>
              <w:rPr>
                <w:rtl w:val="1"/>
              </w:rPr>
              <w:t>..............................</w:t>
            </w:r>
          </w:p>
        </w:tc>
        <w:tc>
          <w:tcPr>
            <w:tcW w:type="dxa" w:w="3360"/>
            <w:vAlign w:val="center"/>
          </w:tcPr>
          <w:p>
            <w:pPr>
              <w:jc w:val="right"/>
              <w:bidi w:val="1"/>
            </w:pPr>
            <w:r>
              <w:rPr>
                <w:rtl w:val="1"/>
              </w:rPr>
              <w:t>................</w:t>
            </w:r>
          </w:p>
        </w:tc>
      </w:tr>
    </w:tbl>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